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8C725" w14:textId="53EC5A9F" w:rsidR="005C7DFA" w:rsidRDefault="006D21E1" w:rsidP="00A46A9E">
      <w:pPr>
        <w:spacing w:after="0" w:line="240" w:lineRule="auto"/>
        <w:rPr>
          <w:rFonts w:asciiTheme="majorHAnsi" w:hAnsiTheme="majorHAnsi" w:cs="Segoe UI"/>
          <w:b/>
          <w:caps/>
          <w:noProof/>
          <w:color w:val="FFFFFF" w:themeColor="background1"/>
          <w:sz w:val="72"/>
          <w:szCs w:val="60"/>
        </w:rPr>
      </w:pPr>
      <w:r>
        <w:rPr>
          <w:rFonts w:ascii="Century Gothic" w:hAnsi="Century Gothic" w:cs="Segoe UI"/>
          <w:b/>
          <w:caps/>
          <w:noProof/>
          <w:color w:val="FFFFFF" w:themeColor="background1"/>
          <w:sz w:val="96"/>
          <w:szCs w:val="60"/>
        </w:rPr>
        <w:drawing>
          <wp:anchor distT="0" distB="0" distL="114300" distR="114300" simplePos="0" relativeHeight="251724800" behindDoc="1" locked="0" layoutInCell="1" allowOverlap="1" wp14:anchorId="2D5D6718" wp14:editId="0B543667">
            <wp:simplePos x="0" y="0"/>
            <wp:positionH relativeFrom="page">
              <wp:posOffset>7289</wp:posOffset>
            </wp:positionH>
            <wp:positionV relativeFrom="paragraph">
              <wp:posOffset>0</wp:posOffset>
            </wp:positionV>
            <wp:extent cx="7766977" cy="9175806"/>
            <wp:effectExtent l="0" t="0" r="5715" b="6350"/>
            <wp:wrapNone/>
            <wp:docPr id="23" name="Picture 23"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shap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766977" cy="9175806"/>
                    </a:xfrm>
                    <a:prstGeom prst="rect">
                      <a:avLst/>
                    </a:prstGeom>
                  </pic:spPr>
                </pic:pic>
              </a:graphicData>
            </a:graphic>
            <wp14:sizeRelH relativeFrom="page">
              <wp14:pctWidth>0</wp14:pctWidth>
            </wp14:sizeRelH>
            <wp14:sizeRelV relativeFrom="page">
              <wp14:pctHeight>0</wp14:pctHeight>
            </wp14:sizeRelV>
          </wp:anchor>
        </w:drawing>
      </w:r>
    </w:p>
    <w:p w14:paraId="7DBA7279" w14:textId="60B0D803" w:rsidR="005C7DFA" w:rsidRPr="00F4455B" w:rsidRDefault="005C7DFA" w:rsidP="00A46A9E">
      <w:pPr>
        <w:spacing w:after="0" w:line="240" w:lineRule="auto"/>
        <w:rPr>
          <w:rFonts w:asciiTheme="majorHAnsi" w:hAnsiTheme="majorHAnsi" w:cs="Segoe UI"/>
          <w:b/>
          <w:caps/>
          <w:noProof/>
          <w:color w:val="FFFFFF" w:themeColor="background1"/>
          <w:sz w:val="56"/>
          <w:szCs w:val="60"/>
        </w:rPr>
      </w:pPr>
    </w:p>
    <w:p w14:paraId="3D9FC01C" w14:textId="77777777" w:rsidR="00CA2639" w:rsidRDefault="00CA2639" w:rsidP="000E0368">
      <w:pPr>
        <w:spacing w:after="0" w:line="240" w:lineRule="auto"/>
        <w:jc w:val="right"/>
        <w:rPr>
          <w:rFonts w:asciiTheme="majorHAnsi" w:hAnsiTheme="majorHAnsi" w:cs="Segoe UI"/>
          <w:b/>
          <w:caps/>
          <w:noProof/>
          <w:color w:val="FFFFFF" w:themeColor="background1"/>
          <w:sz w:val="52"/>
          <w:szCs w:val="52"/>
        </w:rPr>
      </w:pPr>
    </w:p>
    <w:p w14:paraId="1D253725" w14:textId="5E8C8904" w:rsidR="00223126" w:rsidRPr="002028F4" w:rsidRDefault="00E754C1" w:rsidP="000E0368">
      <w:pPr>
        <w:spacing w:after="0" w:line="240" w:lineRule="auto"/>
        <w:jc w:val="right"/>
        <w:rPr>
          <w:rFonts w:asciiTheme="majorHAnsi" w:hAnsiTheme="majorHAnsi" w:cs="Segoe UI"/>
          <w:b/>
          <w:caps/>
          <w:color w:val="FFFFFF" w:themeColor="background1"/>
          <w:sz w:val="56"/>
          <w:szCs w:val="56"/>
        </w:rPr>
      </w:pPr>
      <w:r w:rsidRPr="002028F4">
        <w:rPr>
          <w:rFonts w:asciiTheme="majorHAnsi" w:hAnsiTheme="majorHAnsi" w:cs="Segoe UI"/>
          <w:b/>
          <w:caps/>
          <w:noProof/>
          <w:color w:val="FFFFFF" w:themeColor="background1"/>
          <w:sz w:val="56"/>
          <w:szCs w:val="56"/>
        </w:rPr>
        <w:t>Texa</w:t>
      </w:r>
      <w:r w:rsidR="002C26FC" w:rsidRPr="002028F4">
        <w:rPr>
          <w:rFonts w:asciiTheme="majorHAnsi" w:hAnsiTheme="majorHAnsi" w:cs="Segoe UI"/>
          <w:b/>
          <w:caps/>
          <w:noProof/>
          <w:color w:val="FFFFFF" w:themeColor="background1"/>
          <w:sz w:val="56"/>
          <w:szCs w:val="56"/>
        </w:rPr>
        <w:t>NS'</w:t>
      </w:r>
      <w:r w:rsidRPr="002028F4">
        <w:rPr>
          <w:rFonts w:asciiTheme="majorHAnsi" w:hAnsiTheme="majorHAnsi" w:cs="Segoe UI"/>
          <w:b/>
          <w:caps/>
          <w:noProof/>
          <w:color w:val="FFFFFF" w:themeColor="background1"/>
          <w:sz w:val="56"/>
          <w:szCs w:val="56"/>
        </w:rPr>
        <w:t xml:space="preserve"> </w:t>
      </w:r>
      <w:r w:rsidR="00EA29A1" w:rsidRPr="002028F4">
        <w:rPr>
          <w:rFonts w:asciiTheme="majorHAnsi" w:hAnsiTheme="majorHAnsi" w:cs="Segoe UI"/>
          <w:b/>
          <w:caps/>
          <w:noProof/>
          <w:color w:val="FFFFFF" w:themeColor="background1"/>
          <w:sz w:val="56"/>
          <w:szCs w:val="56"/>
        </w:rPr>
        <w:t>Views on health policy</w:t>
      </w:r>
    </w:p>
    <w:p w14:paraId="1CC1C2B4" w14:textId="77777777" w:rsidR="00CA2639" w:rsidRPr="002028F4" w:rsidRDefault="00CA2639" w:rsidP="000E0368">
      <w:pPr>
        <w:spacing w:after="0" w:line="240" w:lineRule="auto"/>
        <w:jc w:val="right"/>
        <w:rPr>
          <w:rFonts w:asciiTheme="majorHAnsi" w:hAnsiTheme="majorHAnsi" w:cs="Segoe UI"/>
          <w:b/>
          <w:caps/>
          <w:color w:val="20A5E8" w:themeColor="accent1"/>
          <w:sz w:val="52"/>
          <w:szCs w:val="52"/>
        </w:rPr>
      </w:pPr>
      <w:r w:rsidRPr="002028F4">
        <w:rPr>
          <w:rFonts w:asciiTheme="majorHAnsi" w:hAnsiTheme="majorHAnsi" w:cs="Segoe UI"/>
          <w:b/>
          <w:caps/>
          <w:color w:val="20A5E8" w:themeColor="accent1"/>
          <w:sz w:val="52"/>
          <w:szCs w:val="52"/>
        </w:rPr>
        <w:t xml:space="preserve">AND </w:t>
      </w:r>
      <w:r w:rsidR="00EA29A1" w:rsidRPr="002028F4">
        <w:rPr>
          <w:rFonts w:asciiTheme="majorHAnsi" w:hAnsiTheme="majorHAnsi" w:cs="Segoe UI"/>
          <w:b/>
          <w:caps/>
          <w:color w:val="20A5E8" w:themeColor="accent1"/>
          <w:sz w:val="52"/>
          <w:szCs w:val="52"/>
        </w:rPr>
        <w:t xml:space="preserve">experiences with access </w:t>
      </w:r>
    </w:p>
    <w:p w14:paraId="23C8C14F" w14:textId="3B3FE1AF" w:rsidR="00913D79" w:rsidRPr="006D21E1" w:rsidRDefault="00EA29A1" w:rsidP="000E0368">
      <w:pPr>
        <w:spacing w:after="0" w:line="240" w:lineRule="auto"/>
        <w:jc w:val="right"/>
        <w:rPr>
          <w:rFonts w:asciiTheme="majorHAnsi" w:hAnsiTheme="majorHAnsi" w:cs="Segoe UI"/>
          <w:b/>
          <w:caps/>
          <w:color w:val="20A5E8" w:themeColor="accent1"/>
          <w:sz w:val="48"/>
          <w:szCs w:val="48"/>
        </w:rPr>
      </w:pPr>
      <w:r w:rsidRPr="002028F4">
        <w:rPr>
          <w:rFonts w:asciiTheme="majorHAnsi" w:hAnsiTheme="majorHAnsi" w:cs="Segoe UI"/>
          <w:b/>
          <w:caps/>
          <w:color w:val="20A5E8" w:themeColor="accent1"/>
          <w:sz w:val="52"/>
          <w:szCs w:val="52"/>
        </w:rPr>
        <w:t>and affordability</w:t>
      </w:r>
    </w:p>
    <w:p w14:paraId="2548D237" w14:textId="56D62945" w:rsidR="00D41B9B" w:rsidRPr="00F4455B" w:rsidRDefault="00D41B9B" w:rsidP="00A46A9E">
      <w:pPr>
        <w:spacing w:after="120" w:line="240" w:lineRule="auto"/>
        <w:rPr>
          <w:rFonts w:ascii="Segoe UI" w:hAnsi="Segoe UI" w:cs="Segoe UI"/>
          <w:color w:val="636363" w:themeColor="text1" w:themeTint="BF"/>
        </w:rPr>
      </w:pPr>
    </w:p>
    <w:p w14:paraId="0F17A252" w14:textId="77777777" w:rsidR="00F17E8B" w:rsidRPr="00F4455B" w:rsidRDefault="00F17E8B" w:rsidP="00A46A9E">
      <w:pPr>
        <w:rPr>
          <w:rFonts w:ascii="Segoe UI" w:hAnsi="Segoe UI" w:cs="Segoe UI"/>
          <w:color w:val="CBCBCB" w:themeColor="text1" w:themeTint="40"/>
          <w:sz w:val="32"/>
          <w:szCs w:val="24"/>
        </w:rPr>
      </w:pPr>
    </w:p>
    <w:p w14:paraId="25D99566" w14:textId="6FF2D282" w:rsidR="00F17E8B" w:rsidRPr="00F4455B" w:rsidRDefault="00E754C1" w:rsidP="000E0368">
      <w:pPr>
        <w:ind w:firstLine="720"/>
        <w:jc w:val="right"/>
        <w:rPr>
          <w:rFonts w:ascii="Segoe UI Light" w:hAnsi="Segoe UI Light"/>
          <w:color w:val="FFFFFF" w:themeColor="background1"/>
          <w:sz w:val="32"/>
          <w:szCs w:val="32"/>
        </w:rPr>
      </w:pPr>
      <w:r w:rsidRPr="00F4455B">
        <w:rPr>
          <w:rFonts w:ascii="Segoe UI Light" w:hAnsi="Segoe UI Light"/>
          <w:color w:val="FFFFFF" w:themeColor="background1"/>
          <w:sz w:val="32"/>
          <w:szCs w:val="32"/>
        </w:rPr>
        <w:t xml:space="preserve">Findings from the </w:t>
      </w:r>
      <w:r w:rsidRPr="006F196D">
        <w:rPr>
          <w:rFonts w:ascii="Segoe UI Light" w:hAnsi="Segoe UI Light"/>
          <w:b/>
          <w:bCs/>
          <w:color w:val="FFFFFF" w:themeColor="background1"/>
          <w:sz w:val="32"/>
          <w:szCs w:val="32"/>
        </w:rPr>
        <w:t>Episcopal Health Foundation</w:t>
      </w:r>
      <w:r w:rsidR="005C7DFA" w:rsidRPr="00F4455B">
        <w:rPr>
          <w:rFonts w:ascii="Segoe UI Light" w:hAnsi="Segoe UI Light"/>
          <w:color w:val="FFFFFF" w:themeColor="background1"/>
          <w:sz w:val="32"/>
          <w:szCs w:val="32"/>
        </w:rPr>
        <w:t xml:space="preserve">                            </w:t>
      </w:r>
      <w:r w:rsidRPr="00F4455B">
        <w:rPr>
          <w:rFonts w:ascii="Segoe UI Light" w:hAnsi="Segoe UI Light"/>
          <w:color w:val="FFFFFF" w:themeColor="background1"/>
          <w:sz w:val="32"/>
          <w:szCs w:val="32"/>
        </w:rPr>
        <w:t>20</w:t>
      </w:r>
      <w:r w:rsidR="00CE62ED" w:rsidRPr="00F4455B">
        <w:rPr>
          <w:rFonts w:ascii="Segoe UI Light" w:hAnsi="Segoe UI Light"/>
          <w:color w:val="FFFFFF" w:themeColor="background1"/>
          <w:sz w:val="32"/>
          <w:szCs w:val="32"/>
        </w:rPr>
        <w:t>2</w:t>
      </w:r>
      <w:r w:rsidR="00EA29A1">
        <w:rPr>
          <w:rFonts w:ascii="Segoe UI Light" w:hAnsi="Segoe UI Light"/>
          <w:color w:val="FFFFFF" w:themeColor="background1"/>
          <w:sz w:val="32"/>
          <w:szCs w:val="32"/>
        </w:rPr>
        <w:t>1</w:t>
      </w:r>
      <w:r w:rsidRPr="00F4455B">
        <w:rPr>
          <w:rFonts w:ascii="Segoe UI Light" w:hAnsi="Segoe UI Light"/>
          <w:color w:val="FFFFFF" w:themeColor="background1"/>
          <w:sz w:val="32"/>
          <w:szCs w:val="32"/>
        </w:rPr>
        <w:t xml:space="preserve"> Texas Health </w:t>
      </w:r>
      <w:r w:rsidR="00EA29A1">
        <w:rPr>
          <w:rFonts w:ascii="Segoe UI Light" w:hAnsi="Segoe UI Light"/>
          <w:color w:val="FFFFFF" w:themeColor="background1"/>
          <w:sz w:val="32"/>
          <w:szCs w:val="32"/>
        </w:rPr>
        <w:t>Tracking</w:t>
      </w:r>
      <w:r w:rsidRPr="00F4455B">
        <w:rPr>
          <w:rFonts w:ascii="Segoe UI Light" w:hAnsi="Segoe UI Light"/>
          <w:color w:val="FFFFFF" w:themeColor="background1"/>
          <w:sz w:val="32"/>
          <w:szCs w:val="32"/>
        </w:rPr>
        <w:t xml:space="preserve"> Survey</w:t>
      </w:r>
      <w:r w:rsidR="00F17E8B" w:rsidRPr="00F4455B">
        <w:rPr>
          <w:rFonts w:ascii="Segoe UI Light" w:hAnsi="Segoe UI Light"/>
          <w:color w:val="FFFFFF" w:themeColor="background1"/>
          <w:sz w:val="32"/>
          <w:szCs w:val="32"/>
        </w:rPr>
        <w:t xml:space="preserve">                </w:t>
      </w:r>
    </w:p>
    <w:p w14:paraId="27453609" w14:textId="77777777" w:rsidR="00F17E8B" w:rsidRPr="00F4455B" w:rsidRDefault="00F17E8B" w:rsidP="00A46A9E">
      <w:pPr>
        <w:spacing w:after="120" w:line="240" w:lineRule="auto"/>
        <w:rPr>
          <w:rFonts w:ascii="Segoe UI" w:hAnsi="Segoe UI" w:cs="Segoe UI"/>
          <w:b/>
          <w:color w:val="CBCBCB" w:themeColor="text1" w:themeTint="40"/>
          <w:sz w:val="14"/>
        </w:rPr>
      </w:pPr>
    </w:p>
    <w:p w14:paraId="453F9792" w14:textId="77777777" w:rsidR="005C7DFA" w:rsidRPr="00F4455B" w:rsidRDefault="005C7DFA" w:rsidP="00A46A9E">
      <w:pPr>
        <w:spacing w:after="120" w:line="240" w:lineRule="auto"/>
        <w:rPr>
          <w:rFonts w:ascii="Segoe UI" w:hAnsi="Segoe UI" w:cs="Segoe UI"/>
          <w:b/>
          <w:color w:val="CBCBCB" w:themeColor="text1" w:themeTint="40"/>
          <w:sz w:val="14"/>
        </w:rPr>
      </w:pPr>
    </w:p>
    <w:p w14:paraId="6C8ECE3D" w14:textId="77777777" w:rsidR="005C7DFA" w:rsidRPr="00F4455B" w:rsidRDefault="005C7DFA" w:rsidP="000E0368">
      <w:pPr>
        <w:spacing w:after="120" w:line="240" w:lineRule="auto"/>
        <w:jc w:val="right"/>
        <w:rPr>
          <w:rFonts w:ascii="Segoe UI Semibold" w:hAnsi="Segoe UI Semibold" w:cs="Segoe UI"/>
          <w:color w:val="CBCBCB" w:themeColor="text1" w:themeTint="40"/>
          <w:sz w:val="24"/>
        </w:rPr>
      </w:pPr>
      <w:r w:rsidRPr="00F4455B">
        <w:rPr>
          <w:rFonts w:ascii="Segoe UI Semibold" w:hAnsi="Segoe UI Semibold" w:cs="Segoe UI"/>
          <w:color w:val="CBCBCB" w:themeColor="text1" w:themeTint="40"/>
          <w:sz w:val="24"/>
        </w:rPr>
        <w:t xml:space="preserve">Prepared by: </w:t>
      </w:r>
    </w:p>
    <w:p w14:paraId="3D8AE4A2" w14:textId="77777777" w:rsidR="005C7DFA" w:rsidRPr="00F4455B" w:rsidRDefault="005C7DFA" w:rsidP="000E0368">
      <w:pPr>
        <w:spacing w:after="120" w:line="240" w:lineRule="auto"/>
        <w:jc w:val="right"/>
        <w:rPr>
          <w:rFonts w:ascii="Segoe UI" w:hAnsi="Segoe UI" w:cs="Segoe UI"/>
          <w:b/>
          <w:color w:val="CBCBCB" w:themeColor="text1" w:themeTint="40"/>
          <w:sz w:val="4"/>
        </w:rPr>
      </w:pPr>
    </w:p>
    <w:p w14:paraId="37BF2928" w14:textId="77777777" w:rsidR="004F02B8" w:rsidRPr="00F4455B" w:rsidRDefault="004F02B8" w:rsidP="000E0368">
      <w:pPr>
        <w:spacing w:after="120" w:line="240" w:lineRule="auto"/>
        <w:jc w:val="right"/>
        <w:rPr>
          <w:rFonts w:ascii="Segoe UI" w:hAnsi="Segoe UI" w:cs="Segoe UI"/>
          <w:color w:val="CBCBCB" w:themeColor="text1" w:themeTint="40"/>
          <w:sz w:val="24"/>
        </w:rPr>
      </w:pPr>
      <w:r w:rsidRPr="00F4455B">
        <w:rPr>
          <w:rFonts w:ascii="Segoe UI" w:hAnsi="Segoe UI" w:cs="Segoe UI"/>
          <w:color w:val="CBCBCB" w:themeColor="text1" w:themeTint="40"/>
          <w:sz w:val="24"/>
        </w:rPr>
        <w:t xml:space="preserve">Shao-Chee Sim, Elena </w:t>
      </w:r>
      <w:proofErr w:type="gramStart"/>
      <w:r w:rsidRPr="00F4455B">
        <w:rPr>
          <w:rFonts w:ascii="Segoe UI" w:hAnsi="Segoe UI" w:cs="Segoe UI"/>
          <w:color w:val="CBCBCB" w:themeColor="text1" w:themeTint="40"/>
          <w:sz w:val="24"/>
        </w:rPr>
        <w:t>Marks  |</w:t>
      </w:r>
      <w:proofErr w:type="gramEnd"/>
      <w:r w:rsidRPr="00F4455B">
        <w:rPr>
          <w:rFonts w:ascii="Segoe UI" w:hAnsi="Segoe UI" w:cs="Segoe UI"/>
          <w:color w:val="CBCBCB" w:themeColor="text1" w:themeTint="40"/>
          <w:sz w:val="24"/>
        </w:rPr>
        <w:t xml:space="preserve">  Episcopal Health Foundation</w:t>
      </w:r>
    </w:p>
    <w:p w14:paraId="1471F90A" w14:textId="5137265B" w:rsidR="005C7DFA" w:rsidRPr="00F4455B" w:rsidRDefault="00CE62ED" w:rsidP="000E0368">
      <w:pPr>
        <w:spacing w:after="120" w:line="240" w:lineRule="auto"/>
        <w:jc w:val="right"/>
        <w:rPr>
          <w:rFonts w:ascii="Segoe UI" w:hAnsi="Segoe UI" w:cs="Segoe UI"/>
          <w:color w:val="CBCBCB" w:themeColor="text1" w:themeTint="40"/>
          <w:sz w:val="24"/>
        </w:rPr>
      </w:pPr>
      <w:r w:rsidRPr="00F4455B">
        <w:rPr>
          <w:rFonts w:ascii="Segoe UI" w:hAnsi="Segoe UI" w:cs="Segoe UI"/>
          <w:color w:val="CBCBCB" w:themeColor="text1" w:themeTint="40"/>
          <w:sz w:val="24"/>
        </w:rPr>
        <w:t xml:space="preserve">Jazmyne Sutton, </w:t>
      </w:r>
      <w:r w:rsidR="00E754C1" w:rsidRPr="00F4455B">
        <w:rPr>
          <w:rFonts w:ascii="Segoe UI" w:hAnsi="Segoe UI" w:cs="Segoe UI"/>
          <w:color w:val="CBCBCB" w:themeColor="text1" w:themeTint="40"/>
          <w:sz w:val="24"/>
        </w:rPr>
        <w:t>Eran Ben-</w:t>
      </w:r>
      <w:proofErr w:type="gramStart"/>
      <w:r w:rsidR="00E754C1" w:rsidRPr="00F4455B">
        <w:rPr>
          <w:rFonts w:ascii="Segoe UI" w:hAnsi="Segoe UI" w:cs="Segoe UI"/>
          <w:color w:val="CBCBCB" w:themeColor="text1" w:themeTint="40"/>
          <w:sz w:val="24"/>
        </w:rPr>
        <w:t>Porath</w:t>
      </w:r>
      <w:r w:rsidR="009A6C01">
        <w:rPr>
          <w:rFonts w:ascii="Segoe UI" w:hAnsi="Segoe UI" w:cs="Segoe UI"/>
          <w:color w:val="CBCBCB" w:themeColor="text1" w:themeTint="40"/>
          <w:sz w:val="24"/>
        </w:rPr>
        <w:t xml:space="preserve"> </w:t>
      </w:r>
      <w:r w:rsidRPr="00F4455B">
        <w:rPr>
          <w:rFonts w:ascii="Segoe UI" w:hAnsi="Segoe UI" w:cs="Segoe UI"/>
          <w:color w:val="CBCBCB" w:themeColor="text1" w:themeTint="40"/>
          <w:sz w:val="24"/>
        </w:rPr>
        <w:t xml:space="preserve"> |</w:t>
      </w:r>
      <w:proofErr w:type="gramEnd"/>
      <w:r w:rsidRPr="00F4455B">
        <w:rPr>
          <w:rFonts w:ascii="Segoe UI" w:hAnsi="Segoe UI" w:cs="Segoe UI"/>
          <w:color w:val="CBCBCB" w:themeColor="text1" w:themeTint="40"/>
          <w:sz w:val="24"/>
        </w:rPr>
        <w:t xml:space="preserve">  </w:t>
      </w:r>
      <w:r w:rsidR="00E754C1" w:rsidRPr="00F4455B">
        <w:rPr>
          <w:rFonts w:ascii="Segoe UI" w:hAnsi="Segoe UI" w:cs="Segoe UI"/>
          <w:color w:val="CBCBCB" w:themeColor="text1" w:themeTint="40"/>
          <w:sz w:val="24"/>
        </w:rPr>
        <w:t>SSRS</w:t>
      </w:r>
    </w:p>
    <w:p w14:paraId="7C00F22F" w14:textId="00DE1990" w:rsidR="005C7DFA" w:rsidRPr="00F4455B" w:rsidRDefault="005C7DFA" w:rsidP="00A46A9E">
      <w:pPr>
        <w:rPr>
          <w:rFonts w:ascii="Segoe UI" w:hAnsi="Segoe UI" w:cs="Segoe UI"/>
          <w:b/>
          <w:color w:val="FFFFFF" w:themeColor="background1"/>
          <w:sz w:val="24"/>
          <w:szCs w:val="24"/>
        </w:rPr>
      </w:pPr>
    </w:p>
    <w:p w14:paraId="15838DEF" w14:textId="77777777" w:rsidR="005C7DFA" w:rsidRPr="00F4455B" w:rsidRDefault="005C7DFA" w:rsidP="00A46A9E">
      <w:pPr>
        <w:rPr>
          <w:rFonts w:ascii="Segoe UI" w:hAnsi="Segoe UI" w:cs="Segoe UI"/>
          <w:color w:val="FFFFFF" w:themeColor="background1"/>
          <w:sz w:val="24"/>
          <w:szCs w:val="24"/>
        </w:rPr>
        <w:sectPr w:rsidR="005C7DFA" w:rsidRPr="00F4455B" w:rsidSect="005C7DFA">
          <w:headerReference w:type="default" r:id="rId9"/>
          <w:footerReference w:type="default" r:id="rId10"/>
          <w:type w:val="continuous"/>
          <w:pgSz w:w="12240" w:h="15840"/>
          <w:pgMar w:top="1440" w:right="1440" w:bottom="1440" w:left="1440" w:header="720" w:footer="720" w:gutter="0"/>
          <w:cols w:space="432"/>
          <w:titlePg/>
          <w:docGrid w:linePitch="272"/>
        </w:sectPr>
      </w:pPr>
    </w:p>
    <w:p w14:paraId="4B57F414" w14:textId="6FB91A91" w:rsidR="005C7DFA" w:rsidRPr="00F4455B" w:rsidRDefault="005C7DFA" w:rsidP="00A46A9E">
      <w:pPr>
        <w:rPr>
          <w:rFonts w:ascii="Segoe UI" w:hAnsi="Segoe UI" w:cs="Segoe UI"/>
          <w:color w:val="FFFFFF" w:themeColor="background1"/>
          <w:sz w:val="24"/>
          <w:szCs w:val="24"/>
        </w:rPr>
      </w:pPr>
      <w:r w:rsidRPr="00F4455B">
        <w:rPr>
          <w:rFonts w:ascii="Segoe UI" w:hAnsi="Segoe UI" w:cs="Segoe UI"/>
          <w:b/>
          <w:caps/>
          <w:noProof/>
          <w:color w:val="20A5E8" w:themeColor="accent1"/>
          <w:sz w:val="52"/>
          <w:lang w:bidi="he-IL"/>
        </w:rPr>
        <w:drawing>
          <wp:anchor distT="0" distB="0" distL="114300" distR="114300" simplePos="0" relativeHeight="251660288" behindDoc="0" locked="1" layoutInCell="1" allowOverlap="1" wp14:anchorId="357FEE55" wp14:editId="32A85F36">
            <wp:simplePos x="0" y="0"/>
            <wp:positionH relativeFrom="margin">
              <wp:posOffset>-263525</wp:posOffset>
            </wp:positionH>
            <wp:positionV relativeFrom="margin">
              <wp:align>bottom</wp:align>
            </wp:positionV>
            <wp:extent cx="1335405" cy="122110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SRS_FINAL_logo_color.png"/>
                    <pic:cNvPicPr/>
                  </pic:nvPicPr>
                  <pic:blipFill>
                    <a:blip r:embed="rId11">
                      <a:extLst>
                        <a:ext uri="{28A0092B-C50C-407E-A947-70E740481C1C}">
                          <a14:useLocalDpi xmlns:a14="http://schemas.microsoft.com/office/drawing/2010/main" val="0"/>
                        </a:ext>
                      </a:extLst>
                    </a:blip>
                    <a:stretch>
                      <a:fillRect/>
                    </a:stretch>
                  </pic:blipFill>
                  <pic:spPr>
                    <a:xfrm>
                      <a:off x="0" y="0"/>
                      <a:ext cx="1335405" cy="1221105"/>
                    </a:xfrm>
                    <a:prstGeom prst="rect">
                      <a:avLst/>
                    </a:prstGeom>
                  </pic:spPr>
                </pic:pic>
              </a:graphicData>
            </a:graphic>
            <wp14:sizeRelH relativeFrom="margin">
              <wp14:pctWidth>0</wp14:pctWidth>
            </wp14:sizeRelH>
            <wp14:sizeRelV relativeFrom="margin">
              <wp14:pctHeight>0</wp14:pctHeight>
            </wp14:sizeRelV>
          </wp:anchor>
        </w:drawing>
      </w:r>
    </w:p>
    <w:p w14:paraId="65206B3D" w14:textId="77777777" w:rsidR="005C7DFA" w:rsidRPr="00F4455B" w:rsidRDefault="005C7DFA" w:rsidP="00A46A9E">
      <w:pPr>
        <w:spacing w:after="120" w:line="240" w:lineRule="auto"/>
        <w:rPr>
          <w:rFonts w:ascii="Segoe UI" w:hAnsi="Segoe UI" w:cs="Segoe UI"/>
          <w:b/>
          <w:caps/>
          <w:color w:val="20A5E8" w:themeColor="accent1"/>
          <w:sz w:val="52"/>
        </w:rPr>
        <w:sectPr w:rsidR="005C7DFA" w:rsidRPr="00F4455B" w:rsidSect="00554757">
          <w:type w:val="continuous"/>
          <w:pgSz w:w="12240" w:h="15840"/>
          <w:pgMar w:top="1440" w:right="1440" w:bottom="1440" w:left="1440" w:header="720" w:footer="720" w:gutter="0"/>
          <w:cols w:num="2" w:space="432"/>
          <w:docGrid w:linePitch="272"/>
        </w:sectPr>
      </w:pPr>
    </w:p>
    <w:p w14:paraId="06CBB0DF" w14:textId="35BF7930" w:rsidR="00054149" w:rsidRPr="002028F4" w:rsidRDefault="006A4939" w:rsidP="000E0368">
      <w:pPr>
        <w:spacing w:after="120" w:line="240" w:lineRule="auto"/>
        <w:jc w:val="right"/>
        <w:rPr>
          <w:rFonts w:ascii="Segoe UI" w:hAnsi="Segoe UI" w:cs="Segoe UI"/>
          <w:b/>
          <w:caps/>
          <w:color w:val="20A5E8" w:themeColor="accent1"/>
          <w:sz w:val="40"/>
          <w:szCs w:val="40"/>
        </w:rPr>
      </w:pPr>
      <w:r>
        <w:rPr>
          <w:rFonts w:ascii="Segoe UI" w:hAnsi="Segoe UI" w:cs="Segoe UI"/>
          <w:b/>
          <w:caps/>
          <w:color w:val="20A5E8" w:themeColor="accent1"/>
          <w:sz w:val="40"/>
          <w:szCs w:val="40"/>
        </w:rPr>
        <w:t>april</w:t>
      </w:r>
      <w:r w:rsidR="00EA29A1" w:rsidRPr="002028F4">
        <w:rPr>
          <w:rFonts w:ascii="Segoe UI" w:hAnsi="Segoe UI" w:cs="Segoe UI"/>
          <w:b/>
          <w:caps/>
          <w:color w:val="20A5E8" w:themeColor="accent1"/>
          <w:sz w:val="40"/>
          <w:szCs w:val="40"/>
        </w:rPr>
        <w:t xml:space="preserve"> 2022</w:t>
      </w:r>
    </w:p>
    <w:p w14:paraId="17C3A16A" w14:textId="072B13BB" w:rsidR="00054149" w:rsidRPr="00F4455B" w:rsidRDefault="00E754C1" w:rsidP="00A46A9E">
      <w:pPr>
        <w:rPr>
          <w:rFonts w:ascii="Segoe UI" w:hAnsi="Segoe UI" w:cs="Segoe UI"/>
          <w:b/>
          <w:caps/>
          <w:color w:val="20A5E8" w:themeColor="accent1"/>
          <w:sz w:val="52"/>
        </w:rPr>
      </w:pPr>
      <w:r w:rsidRPr="00F4455B">
        <w:rPr>
          <w:rFonts w:asciiTheme="majorHAnsi" w:hAnsiTheme="majorHAnsi" w:cs="Segoe UI"/>
          <w:b/>
          <w:caps/>
          <w:noProof/>
          <w:color w:val="20A5E8" w:themeColor="accent1"/>
          <w:sz w:val="70"/>
          <w:szCs w:val="70"/>
          <w:lang w:bidi="he-IL"/>
        </w:rPr>
        <w:drawing>
          <wp:anchor distT="0" distB="0" distL="114300" distR="114300" simplePos="0" relativeHeight="251663360" behindDoc="0" locked="0" layoutInCell="1" allowOverlap="1" wp14:anchorId="289A5DE2" wp14:editId="7241BF04">
            <wp:simplePos x="0" y="0"/>
            <wp:positionH relativeFrom="column">
              <wp:posOffset>4780446</wp:posOffset>
            </wp:positionH>
            <wp:positionV relativeFrom="paragraph">
              <wp:posOffset>953328</wp:posOffset>
            </wp:positionV>
            <wp:extent cx="1285875" cy="1034415"/>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HF Logo.png"/>
                    <pic:cNvPicPr/>
                  </pic:nvPicPr>
                  <pic:blipFill rotWithShape="1">
                    <a:blip r:embed="rId12" cstate="print">
                      <a:clrChange>
                        <a:clrFrom>
                          <a:srgbClr val="FFFFFF"/>
                        </a:clrFrom>
                        <a:clrTo>
                          <a:srgbClr val="FFFFFF">
                            <a:alpha val="0"/>
                          </a:srgbClr>
                        </a:clrTo>
                      </a:clrChange>
                      <a:lum bright="70000" contrast="-70000"/>
                      <a:extLst>
                        <a:ext uri="{28A0092B-C50C-407E-A947-70E740481C1C}">
                          <a14:useLocalDpi xmlns:a14="http://schemas.microsoft.com/office/drawing/2010/main" val="0"/>
                        </a:ext>
                      </a:extLst>
                    </a:blip>
                    <a:srcRect t="4682"/>
                    <a:stretch/>
                  </pic:blipFill>
                  <pic:spPr bwMode="auto">
                    <a:xfrm>
                      <a:off x="0" y="0"/>
                      <a:ext cx="1285875" cy="10344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54149" w:rsidRPr="00F4455B">
        <w:rPr>
          <w:rFonts w:ascii="Segoe UI" w:hAnsi="Segoe UI" w:cs="Segoe UI"/>
          <w:b/>
          <w:caps/>
          <w:color w:val="20A5E8" w:themeColor="accent1"/>
          <w:sz w:val="52"/>
        </w:rPr>
        <w:br w:type="page"/>
      </w:r>
    </w:p>
    <w:p w14:paraId="2991D504" w14:textId="77777777" w:rsidR="00E71A76" w:rsidRPr="00F4455B" w:rsidRDefault="00E71A76" w:rsidP="00A46A9E">
      <w:pPr>
        <w:spacing w:after="120" w:line="240" w:lineRule="auto"/>
        <w:rPr>
          <w:rFonts w:ascii="Segoe UI" w:hAnsi="Segoe UI" w:cs="Segoe UI"/>
          <w:b/>
          <w:caps/>
          <w:color w:val="20A5E8" w:themeColor="accent1"/>
          <w:sz w:val="52"/>
        </w:rPr>
        <w:sectPr w:rsidR="00E71A76" w:rsidRPr="00F4455B" w:rsidSect="00E71A76">
          <w:type w:val="continuous"/>
          <w:pgSz w:w="12240" w:h="15840"/>
          <w:pgMar w:top="1440" w:right="1440" w:bottom="1440" w:left="1440" w:header="720" w:footer="720" w:gutter="0"/>
          <w:cols w:space="432"/>
          <w:docGrid w:linePitch="272"/>
        </w:sectPr>
      </w:pPr>
    </w:p>
    <w:bookmarkStart w:id="0" w:name="_Toc131986" w:displacedByCustomXml="next"/>
    <w:bookmarkStart w:id="1" w:name="_Toc536602435" w:displacedByCustomXml="next"/>
    <w:bookmarkStart w:id="2" w:name="_Toc536529324" w:displacedByCustomXml="next"/>
    <w:bookmarkStart w:id="3" w:name="_Toc536532795" w:displacedByCustomXml="next"/>
    <w:bookmarkStart w:id="4" w:name="_Toc536693773" w:displacedByCustomXml="next"/>
    <w:bookmarkStart w:id="5" w:name="_Toc95988988" w:displacedByCustomXml="next"/>
    <w:sdt>
      <w:sdtPr>
        <w:rPr>
          <w:rFonts w:asciiTheme="minorHAnsi" w:eastAsiaTheme="minorHAnsi" w:hAnsiTheme="minorHAnsi" w:cstheme="minorBidi"/>
          <w:b w:val="0"/>
          <w:caps w:val="0"/>
          <w:color w:val="auto"/>
          <w:sz w:val="20"/>
          <w:szCs w:val="22"/>
        </w:rPr>
        <w:id w:val="-1746641090"/>
        <w:docPartObj>
          <w:docPartGallery w:val="Table of Contents"/>
          <w:docPartUnique/>
        </w:docPartObj>
      </w:sdtPr>
      <w:sdtEndPr>
        <w:rPr>
          <w:bCs/>
          <w:noProof/>
        </w:rPr>
      </w:sdtEndPr>
      <w:sdtContent>
        <w:bookmarkEnd w:id="4" w:displacedByCustomXml="prev"/>
        <w:bookmarkEnd w:id="3" w:displacedByCustomXml="prev"/>
        <w:bookmarkEnd w:id="2" w:displacedByCustomXml="prev"/>
        <w:bookmarkEnd w:id="1" w:displacedByCustomXml="prev"/>
        <w:bookmarkEnd w:id="0" w:displacedByCustomXml="prev"/>
        <w:p w14:paraId="1D57CD76" w14:textId="01F30FD7" w:rsidR="00F626BE" w:rsidRDefault="00A3196B" w:rsidP="00A46A9E">
          <w:pPr>
            <w:pStyle w:val="Heading1"/>
            <w:spacing w:before="0" w:after="80" w:line="240" w:lineRule="auto"/>
            <w:jc w:val="both"/>
          </w:pPr>
          <w:r>
            <w:t>TABLE OF CONTENTS</w:t>
          </w:r>
          <w:bookmarkEnd w:id="5"/>
        </w:p>
        <w:p w14:paraId="64B35D9B" w14:textId="77777777" w:rsidR="00A3196B" w:rsidRPr="00A3196B" w:rsidRDefault="00A3196B" w:rsidP="00A3196B"/>
        <w:p w14:paraId="4C59CB03" w14:textId="6AEF3BE4" w:rsidR="00B13EEB" w:rsidRDefault="00F626BE">
          <w:pPr>
            <w:pStyle w:val="TOC1"/>
            <w:tabs>
              <w:tab w:val="right" w:leader="dot" w:pos="9350"/>
            </w:tabs>
            <w:rPr>
              <w:rFonts w:eastAsiaTheme="minorEastAsia"/>
              <w:noProof/>
              <w:sz w:val="22"/>
            </w:rPr>
          </w:pPr>
          <w:r w:rsidRPr="00F4455B">
            <w:rPr>
              <w:b/>
              <w:bCs/>
              <w:noProof/>
            </w:rPr>
            <w:fldChar w:fldCharType="begin"/>
          </w:r>
          <w:r w:rsidRPr="00F4455B">
            <w:rPr>
              <w:b/>
              <w:bCs/>
              <w:noProof/>
            </w:rPr>
            <w:instrText xml:space="preserve"> TOC \o "1-3" \h \z \u </w:instrText>
          </w:r>
          <w:r w:rsidRPr="00F4455B">
            <w:rPr>
              <w:b/>
              <w:bCs/>
              <w:noProof/>
            </w:rPr>
            <w:fldChar w:fldCharType="separate"/>
          </w:r>
          <w:hyperlink w:anchor="_Toc95988989" w:history="1">
            <w:r w:rsidR="00B13EEB" w:rsidRPr="005A4CD1">
              <w:rPr>
                <w:rStyle w:val="Hyperlink"/>
                <w:noProof/>
              </w:rPr>
              <w:t>EXECUTIVE SUMMARY</w:t>
            </w:r>
            <w:r w:rsidR="00B13EEB">
              <w:rPr>
                <w:noProof/>
                <w:webHidden/>
              </w:rPr>
              <w:tab/>
            </w:r>
            <w:r w:rsidR="00B13EEB">
              <w:rPr>
                <w:noProof/>
                <w:webHidden/>
              </w:rPr>
              <w:fldChar w:fldCharType="begin"/>
            </w:r>
            <w:r w:rsidR="00B13EEB">
              <w:rPr>
                <w:noProof/>
                <w:webHidden/>
              </w:rPr>
              <w:instrText xml:space="preserve"> PAGEREF _Toc95988989 \h </w:instrText>
            </w:r>
            <w:r w:rsidR="00B13EEB">
              <w:rPr>
                <w:noProof/>
                <w:webHidden/>
              </w:rPr>
            </w:r>
            <w:r w:rsidR="00B13EEB">
              <w:rPr>
                <w:noProof/>
                <w:webHidden/>
              </w:rPr>
              <w:fldChar w:fldCharType="separate"/>
            </w:r>
            <w:r w:rsidR="00B13EEB">
              <w:rPr>
                <w:noProof/>
                <w:webHidden/>
              </w:rPr>
              <w:t>3</w:t>
            </w:r>
            <w:r w:rsidR="00B13EEB">
              <w:rPr>
                <w:noProof/>
                <w:webHidden/>
              </w:rPr>
              <w:fldChar w:fldCharType="end"/>
            </w:r>
          </w:hyperlink>
        </w:p>
        <w:p w14:paraId="2BCE20D6" w14:textId="1327FC9E" w:rsidR="00B13EEB" w:rsidRDefault="00403CEF">
          <w:pPr>
            <w:pStyle w:val="TOC1"/>
            <w:tabs>
              <w:tab w:val="right" w:leader="dot" w:pos="9350"/>
            </w:tabs>
            <w:rPr>
              <w:rFonts w:eastAsiaTheme="minorEastAsia"/>
              <w:noProof/>
              <w:sz w:val="22"/>
            </w:rPr>
          </w:pPr>
          <w:hyperlink w:anchor="_Toc95988990" w:history="1">
            <w:r w:rsidR="00B13EEB" w:rsidRPr="005A4CD1">
              <w:rPr>
                <w:rStyle w:val="Hyperlink"/>
                <w:noProof/>
              </w:rPr>
              <w:t>ISSUES FOR TEXAS LEGISLATURE AND LOCAL ELECTED OFFICIALS</w:t>
            </w:r>
            <w:r w:rsidR="00B13EEB">
              <w:rPr>
                <w:noProof/>
                <w:webHidden/>
              </w:rPr>
              <w:tab/>
            </w:r>
            <w:r w:rsidR="00B13EEB">
              <w:rPr>
                <w:noProof/>
                <w:webHidden/>
              </w:rPr>
              <w:fldChar w:fldCharType="begin"/>
            </w:r>
            <w:r w:rsidR="00B13EEB">
              <w:rPr>
                <w:noProof/>
                <w:webHidden/>
              </w:rPr>
              <w:instrText xml:space="preserve"> PAGEREF _Toc95988990 \h </w:instrText>
            </w:r>
            <w:r w:rsidR="00B13EEB">
              <w:rPr>
                <w:noProof/>
                <w:webHidden/>
              </w:rPr>
            </w:r>
            <w:r w:rsidR="00B13EEB">
              <w:rPr>
                <w:noProof/>
                <w:webHidden/>
              </w:rPr>
              <w:fldChar w:fldCharType="separate"/>
            </w:r>
            <w:r w:rsidR="00B13EEB">
              <w:rPr>
                <w:noProof/>
                <w:webHidden/>
              </w:rPr>
              <w:t>4</w:t>
            </w:r>
            <w:r w:rsidR="00B13EEB">
              <w:rPr>
                <w:noProof/>
                <w:webHidden/>
              </w:rPr>
              <w:fldChar w:fldCharType="end"/>
            </w:r>
          </w:hyperlink>
        </w:p>
        <w:p w14:paraId="1DCE770E" w14:textId="211B8040" w:rsidR="00B13EEB" w:rsidRDefault="00403CEF">
          <w:pPr>
            <w:pStyle w:val="TOC1"/>
            <w:tabs>
              <w:tab w:val="right" w:leader="dot" w:pos="9350"/>
            </w:tabs>
            <w:rPr>
              <w:rFonts w:eastAsiaTheme="minorEastAsia"/>
              <w:noProof/>
              <w:sz w:val="22"/>
            </w:rPr>
          </w:pPr>
          <w:hyperlink w:anchor="_Toc95988991" w:history="1">
            <w:r w:rsidR="00B13EEB" w:rsidRPr="005A4CD1">
              <w:rPr>
                <w:rStyle w:val="Hyperlink"/>
                <w:noProof/>
              </w:rPr>
              <w:t>HEALTH CARE ISSUES FOR THE STATE</w:t>
            </w:r>
            <w:r w:rsidR="00B13EEB">
              <w:rPr>
                <w:noProof/>
                <w:webHidden/>
              </w:rPr>
              <w:tab/>
            </w:r>
            <w:r w:rsidR="00B13EEB">
              <w:rPr>
                <w:noProof/>
                <w:webHidden/>
              </w:rPr>
              <w:fldChar w:fldCharType="begin"/>
            </w:r>
            <w:r w:rsidR="00B13EEB">
              <w:rPr>
                <w:noProof/>
                <w:webHidden/>
              </w:rPr>
              <w:instrText xml:space="preserve"> PAGEREF _Toc95988991 \h </w:instrText>
            </w:r>
            <w:r w:rsidR="00B13EEB">
              <w:rPr>
                <w:noProof/>
                <w:webHidden/>
              </w:rPr>
            </w:r>
            <w:r w:rsidR="00B13EEB">
              <w:rPr>
                <w:noProof/>
                <w:webHidden/>
              </w:rPr>
              <w:fldChar w:fldCharType="separate"/>
            </w:r>
            <w:r w:rsidR="00B13EEB">
              <w:rPr>
                <w:noProof/>
                <w:webHidden/>
              </w:rPr>
              <w:t>7</w:t>
            </w:r>
            <w:r w:rsidR="00B13EEB">
              <w:rPr>
                <w:noProof/>
                <w:webHidden/>
              </w:rPr>
              <w:fldChar w:fldCharType="end"/>
            </w:r>
          </w:hyperlink>
        </w:p>
        <w:p w14:paraId="14BA083D" w14:textId="6205EC56" w:rsidR="00B13EEB" w:rsidRDefault="00403CEF">
          <w:pPr>
            <w:pStyle w:val="TOC2"/>
            <w:tabs>
              <w:tab w:val="right" w:leader="dot" w:pos="9350"/>
            </w:tabs>
            <w:rPr>
              <w:rFonts w:eastAsiaTheme="minorEastAsia"/>
              <w:noProof/>
              <w:sz w:val="22"/>
            </w:rPr>
          </w:pPr>
          <w:hyperlink w:anchor="_Toc95988992" w:history="1">
            <w:r w:rsidR="00B13EEB" w:rsidRPr="005A4CD1">
              <w:rPr>
                <w:rStyle w:val="Hyperlink"/>
                <w:noProof/>
              </w:rPr>
              <w:t>Top Health Care Priorities</w:t>
            </w:r>
            <w:r w:rsidR="00B13EEB">
              <w:rPr>
                <w:noProof/>
                <w:webHidden/>
              </w:rPr>
              <w:tab/>
            </w:r>
            <w:r w:rsidR="00B13EEB">
              <w:rPr>
                <w:noProof/>
                <w:webHidden/>
              </w:rPr>
              <w:fldChar w:fldCharType="begin"/>
            </w:r>
            <w:r w:rsidR="00B13EEB">
              <w:rPr>
                <w:noProof/>
                <w:webHidden/>
              </w:rPr>
              <w:instrText xml:space="preserve"> PAGEREF _Toc95988992 \h </w:instrText>
            </w:r>
            <w:r w:rsidR="00B13EEB">
              <w:rPr>
                <w:noProof/>
                <w:webHidden/>
              </w:rPr>
            </w:r>
            <w:r w:rsidR="00B13EEB">
              <w:rPr>
                <w:noProof/>
                <w:webHidden/>
              </w:rPr>
              <w:fldChar w:fldCharType="separate"/>
            </w:r>
            <w:r w:rsidR="00B13EEB">
              <w:rPr>
                <w:noProof/>
                <w:webHidden/>
              </w:rPr>
              <w:t>7</w:t>
            </w:r>
            <w:r w:rsidR="00B13EEB">
              <w:rPr>
                <w:noProof/>
                <w:webHidden/>
              </w:rPr>
              <w:fldChar w:fldCharType="end"/>
            </w:r>
          </w:hyperlink>
        </w:p>
        <w:p w14:paraId="3FDACFD2" w14:textId="590C538B" w:rsidR="00B13EEB" w:rsidRDefault="00403CEF">
          <w:pPr>
            <w:pStyle w:val="TOC2"/>
            <w:tabs>
              <w:tab w:val="right" w:leader="dot" w:pos="9350"/>
            </w:tabs>
            <w:rPr>
              <w:rFonts w:eastAsiaTheme="minorEastAsia"/>
              <w:noProof/>
              <w:sz w:val="22"/>
            </w:rPr>
          </w:pPr>
          <w:hyperlink w:anchor="_Toc95988993" w:history="1">
            <w:r w:rsidR="00B13EEB" w:rsidRPr="005A4CD1">
              <w:rPr>
                <w:rStyle w:val="Hyperlink"/>
                <w:noProof/>
              </w:rPr>
              <w:t>Opinions and Experiences with Medicaid</w:t>
            </w:r>
            <w:r w:rsidR="00B13EEB">
              <w:rPr>
                <w:noProof/>
                <w:webHidden/>
              </w:rPr>
              <w:tab/>
            </w:r>
            <w:r w:rsidR="00B13EEB">
              <w:rPr>
                <w:noProof/>
                <w:webHidden/>
              </w:rPr>
              <w:fldChar w:fldCharType="begin"/>
            </w:r>
            <w:r w:rsidR="00B13EEB">
              <w:rPr>
                <w:noProof/>
                <w:webHidden/>
              </w:rPr>
              <w:instrText xml:space="preserve"> PAGEREF _Toc95988993 \h </w:instrText>
            </w:r>
            <w:r w:rsidR="00B13EEB">
              <w:rPr>
                <w:noProof/>
                <w:webHidden/>
              </w:rPr>
            </w:r>
            <w:r w:rsidR="00B13EEB">
              <w:rPr>
                <w:noProof/>
                <w:webHidden/>
              </w:rPr>
              <w:fldChar w:fldCharType="separate"/>
            </w:r>
            <w:r w:rsidR="00B13EEB">
              <w:rPr>
                <w:noProof/>
                <w:webHidden/>
              </w:rPr>
              <w:t>8</w:t>
            </w:r>
            <w:r w:rsidR="00B13EEB">
              <w:rPr>
                <w:noProof/>
                <w:webHidden/>
              </w:rPr>
              <w:fldChar w:fldCharType="end"/>
            </w:r>
          </w:hyperlink>
        </w:p>
        <w:p w14:paraId="486385F4" w14:textId="0A2249FE" w:rsidR="00B13EEB" w:rsidRDefault="00403CEF">
          <w:pPr>
            <w:pStyle w:val="TOC1"/>
            <w:tabs>
              <w:tab w:val="right" w:leader="dot" w:pos="9350"/>
            </w:tabs>
            <w:rPr>
              <w:rFonts w:eastAsiaTheme="minorEastAsia"/>
              <w:noProof/>
              <w:sz w:val="22"/>
            </w:rPr>
          </w:pPr>
          <w:hyperlink w:anchor="_Toc95988994" w:history="1">
            <w:r w:rsidR="00B13EEB" w:rsidRPr="005A4CD1">
              <w:rPr>
                <w:rStyle w:val="Hyperlink"/>
                <w:noProof/>
              </w:rPr>
              <w:t>EXPERIENCES WITH HEALTH CARE AFFORDABILITY AND ACCESS</w:t>
            </w:r>
            <w:r w:rsidR="00B13EEB">
              <w:rPr>
                <w:noProof/>
                <w:webHidden/>
              </w:rPr>
              <w:tab/>
            </w:r>
            <w:r w:rsidR="00B13EEB">
              <w:rPr>
                <w:noProof/>
                <w:webHidden/>
              </w:rPr>
              <w:fldChar w:fldCharType="begin"/>
            </w:r>
            <w:r w:rsidR="00B13EEB">
              <w:rPr>
                <w:noProof/>
                <w:webHidden/>
              </w:rPr>
              <w:instrText xml:space="preserve"> PAGEREF _Toc95988994 \h </w:instrText>
            </w:r>
            <w:r w:rsidR="00B13EEB">
              <w:rPr>
                <w:noProof/>
                <w:webHidden/>
              </w:rPr>
            </w:r>
            <w:r w:rsidR="00B13EEB">
              <w:rPr>
                <w:noProof/>
                <w:webHidden/>
              </w:rPr>
              <w:fldChar w:fldCharType="separate"/>
            </w:r>
            <w:r w:rsidR="00B13EEB">
              <w:rPr>
                <w:noProof/>
                <w:webHidden/>
              </w:rPr>
              <w:t>11</w:t>
            </w:r>
            <w:r w:rsidR="00B13EEB">
              <w:rPr>
                <w:noProof/>
                <w:webHidden/>
              </w:rPr>
              <w:fldChar w:fldCharType="end"/>
            </w:r>
          </w:hyperlink>
        </w:p>
        <w:p w14:paraId="2D16B33D" w14:textId="24DC27E0" w:rsidR="00B13EEB" w:rsidRDefault="00403CEF">
          <w:pPr>
            <w:pStyle w:val="TOC2"/>
            <w:tabs>
              <w:tab w:val="right" w:leader="dot" w:pos="9350"/>
            </w:tabs>
            <w:rPr>
              <w:rFonts w:eastAsiaTheme="minorEastAsia"/>
              <w:noProof/>
              <w:sz w:val="22"/>
            </w:rPr>
          </w:pPr>
          <w:hyperlink w:anchor="_Toc95988995" w:history="1">
            <w:r w:rsidR="00B13EEB" w:rsidRPr="005A4CD1">
              <w:rPr>
                <w:rStyle w:val="Hyperlink"/>
                <w:noProof/>
              </w:rPr>
              <w:t>Health Insurance Coverage</w:t>
            </w:r>
            <w:r w:rsidR="00B13EEB">
              <w:rPr>
                <w:noProof/>
                <w:webHidden/>
              </w:rPr>
              <w:tab/>
            </w:r>
            <w:r w:rsidR="00B13EEB">
              <w:rPr>
                <w:noProof/>
                <w:webHidden/>
              </w:rPr>
              <w:fldChar w:fldCharType="begin"/>
            </w:r>
            <w:r w:rsidR="00B13EEB">
              <w:rPr>
                <w:noProof/>
                <w:webHidden/>
              </w:rPr>
              <w:instrText xml:space="preserve"> PAGEREF _Toc95988995 \h </w:instrText>
            </w:r>
            <w:r w:rsidR="00B13EEB">
              <w:rPr>
                <w:noProof/>
                <w:webHidden/>
              </w:rPr>
            </w:r>
            <w:r w:rsidR="00B13EEB">
              <w:rPr>
                <w:noProof/>
                <w:webHidden/>
              </w:rPr>
              <w:fldChar w:fldCharType="separate"/>
            </w:r>
            <w:r w:rsidR="00B13EEB">
              <w:rPr>
                <w:noProof/>
                <w:webHidden/>
              </w:rPr>
              <w:t>11</w:t>
            </w:r>
            <w:r w:rsidR="00B13EEB">
              <w:rPr>
                <w:noProof/>
                <w:webHidden/>
              </w:rPr>
              <w:fldChar w:fldCharType="end"/>
            </w:r>
          </w:hyperlink>
        </w:p>
        <w:p w14:paraId="5AE6FD94" w14:textId="2E82FEDE" w:rsidR="00B13EEB" w:rsidRDefault="00403CEF">
          <w:pPr>
            <w:pStyle w:val="TOC2"/>
            <w:tabs>
              <w:tab w:val="right" w:leader="dot" w:pos="9350"/>
            </w:tabs>
            <w:rPr>
              <w:rFonts w:eastAsiaTheme="minorEastAsia"/>
              <w:noProof/>
              <w:sz w:val="22"/>
            </w:rPr>
          </w:pPr>
          <w:hyperlink w:anchor="_Toc95988996" w:history="1">
            <w:r w:rsidR="00B13EEB" w:rsidRPr="005A4CD1">
              <w:rPr>
                <w:rStyle w:val="Hyperlink"/>
                <w:noProof/>
              </w:rPr>
              <w:t>Affording Health Care and Medical Bills</w:t>
            </w:r>
            <w:r w:rsidR="00B13EEB">
              <w:rPr>
                <w:noProof/>
                <w:webHidden/>
              </w:rPr>
              <w:tab/>
            </w:r>
            <w:r w:rsidR="00B13EEB">
              <w:rPr>
                <w:noProof/>
                <w:webHidden/>
              </w:rPr>
              <w:fldChar w:fldCharType="begin"/>
            </w:r>
            <w:r w:rsidR="00B13EEB">
              <w:rPr>
                <w:noProof/>
                <w:webHidden/>
              </w:rPr>
              <w:instrText xml:space="preserve"> PAGEREF _Toc95988996 \h </w:instrText>
            </w:r>
            <w:r w:rsidR="00B13EEB">
              <w:rPr>
                <w:noProof/>
                <w:webHidden/>
              </w:rPr>
            </w:r>
            <w:r w:rsidR="00B13EEB">
              <w:rPr>
                <w:noProof/>
                <w:webHidden/>
              </w:rPr>
              <w:fldChar w:fldCharType="separate"/>
            </w:r>
            <w:r w:rsidR="00B13EEB">
              <w:rPr>
                <w:noProof/>
                <w:webHidden/>
              </w:rPr>
              <w:t>11</w:t>
            </w:r>
            <w:r w:rsidR="00B13EEB">
              <w:rPr>
                <w:noProof/>
                <w:webHidden/>
              </w:rPr>
              <w:fldChar w:fldCharType="end"/>
            </w:r>
          </w:hyperlink>
        </w:p>
        <w:p w14:paraId="6A9B0F79" w14:textId="25E1D93E" w:rsidR="00B13EEB" w:rsidRDefault="00403CEF">
          <w:pPr>
            <w:pStyle w:val="TOC3"/>
            <w:tabs>
              <w:tab w:val="right" w:leader="dot" w:pos="9350"/>
            </w:tabs>
            <w:rPr>
              <w:rFonts w:eastAsiaTheme="minorEastAsia"/>
              <w:noProof/>
              <w:sz w:val="22"/>
            </w:rPr>
          </w:pPr>
          <w:hyperlink w:anchor="_Toc95988997" w:history="1">
            <w:r w:rsidR="00B13EEB" w:rsidRPr="005A4CD1">
              <w:rPr>
                <w:rStyle w:val="Hyperlink"/>
                <w:noProof/>
              </w:rPr>
              <w:t>Table 1: Problems Affording Medical Care</w:t>
            </w:r>
            <w:r w:rsidR="00B13EEB">
              <w:rPr>
                <w:noProof/>
                <w:webHidden/>
              </w:rPr>
              <w:tab/>
            </w:r>
            <w:r w:rsidR="00B13EEB">
              <w:rPr>
                <w:noProof/>
                <w:webHidden/>
              </w:rPr>
              <w:fldChar w:fldCharType="begin"/>
            </w:r>
            <w:r w:rsidR="00B13EEB">
              <w:rPr>
                <w:noProof/>
                <w:webHidden/>
              </w:rPr>
              <w:instrText xml:space="preserve"> PAGEREF _Toc95988997 \h </w:instrText>
            </w:r>
            <w:r w:rsidR="00B13EEB">
              <w:rPr>
                <w:noProof/>
                <w:webHidden/>
              </w:rPr>
            </w:r>
            <w:r w:rsidR="00B13EEB">
              <w:rPr>
                <w:noProof/>
                <w:webHidden/>
              </w:rPr>
              <w:fldChar w:fldCharType="separate"/>
            </w:r>
            <w:r w:rsidR="00B13EEB">
              <w:rPr>
                <w:noProof/>
                <w:webHidden/>
              </w:rPr>
              <w:t>12</w:t>
            </w:r>
            <w:r w:rsidR="00B13EEB">
              <w:rPr>
                <w:noProof/>
                <w:webHidden/>
              </w:rPr>
              <w:fldChar w:fldCharType="end"/>
            </w:r>
          </w:hyperlink>
        </w:p>
        <w:p w14:paraId="59AD86B2" w14:textId="68A725BE" w:rsidR="00B13EEB" w:rsidRDefault="00403CEF">
          <w:pPr>
            <w:pStyle w:val="TOC2"/>
            <w:tabs>
              <w:tab w:val="right" w:leader="dot" w:pos="9350"/>
            </w:tabs>
            <w:rPr>
              <w:rFonts w:eastAsiaTheme="minorEastAsia"/>
              <w:noProof/>
              <w:sz w:val="22"/>
            </w:rPr>
          </w:pPr>
          <w:hyperlink w:anchor="_Toc95988998" w:history="1">
            <w:r w:rsidR="00B13EEB" w:rsidRPr="005A4CD1">
              <w:rPr>
                <w:rStyle w:val="Hyperlink"/>
                <w:noProof/>
              </w:rPr>
              <w:t>Texans’ Usual Places for Health Care</w:t>
            </w:r>
            <w:r w:rsidR="00B13EEB">
              <w:rPr>
                <w:noProof/>
                <w:webHidden/>
              </w:rPr>
              <w:tab/>
            </w:r>
            <w:r w:rsidR="00B13EEB">
              <w:rPr>
                <w:noProof/>
                <w:webHidden/>
              </w:rPr>
              <w:fldChar w:fldCharType="begin"/>
            </w:r>
            <w:r w:rsidR="00B13EEB">
              <w:rPr>
                <w:noProof/>
                <w:webHidden/>
              </w:rPr>
              <w:instrText xml:space="preserve"> PAGEREF _Toc95988998 \h </w:instrText>
            </w:r>
            <w:r w:rsidR="00B13EEB">
              <w:rPr>
                <w:noProof/>
                <w:webHidden/>
              </w:rPr>
            </w:r>
            <w:r w:rsidR="00B13EEB">
              <w:rPr>
                <w:noProof/>
                <w:webHidden/>
              </w:rPr>
              <w:fldChar w:fldCharType="separate"/>
            </w:r>
            <w:r w:rsidR="00B13EEB">
              <w:rPr>
                <w:noProof/>
                <w:webHidden/>
              </w:rPr>
              <w:t>12</w:t>
            </w:r>
            <w:r w:rsidR="00B13EEB">
              <w:rPr>
                <w:noProof/>
                <w:webHidden/>
              </w:rPr>
              <w:fldChar w:fldCharType="end"/>
            </w:r>
          </w:hyperlink>
        </w:p>
        <w:p w14:paraId="71155086" w14:textId="19EC3381" w:rsidR="00B13EEB" w:rsidRDefault="00403CEF">
          <w:pPr>
            <w:pStyle w:val="TOC3"/>
            <w:tabs>
              <w:tab w:val="right" w:leader="dot" w:pos="9350"/>
            </w:tabs>
            <w:rPr>
              <w:rFonts w:eastAsiaTheme="minorEastAsia"/>
              <w:noProof/>
              <w:sz w:val="22"/>
            </w:rPr>
          </w:pPr>
          <w:hyperlink w:anchor="_Toc95988999" w:history="1">
            <w:r w:rsidR="00B13EEB" w:rsidRPr="005A4CD1">
              <w:rPr>
                <w:rStyle w:val="Hyperlink"/>
                <w:noProof/>
              </w:rPr>
              <w:t>Table 2: Usual Source of Care for Texans</w:t>
            </w:r>
            <w:r w:rsidR="00B13EEB">
              <w:rPr>
                <w:noProof/>
                <w:webHidden/>
              </w:rPr>
              <w:tab/>
            </w:r>
            <w:r w:rsidR="00B13EEB">
              <w:rPr>
                <w:noProof/>
                <w:webHidden/>
              </w:rPr>
              <w:fldChar w:fldCharType="begin"/>
            </w:r>
            <w:r w:rsidR="00B13EEB">
              <w:rPr>
                <w:noProof/>
                <w:webHidden/>
              </w:rPr>
              <w:instrText xml:space="preserve"> PAGEREF _Toc95988999 \h </w:instrText>
            </w:r>
            <w:r w:rsidR="00B13EEB">
              <w:rPr>
                <w:noProof/>
                <w:webHidden/>
              </w:rPr>
            </w:r>
            <w:r w:rsidR="00B13EEB">
              <w:rPr>
                <w:noProof/>
                <w:webHidden/>
              </w:rPr>
              <w:fldChar w:fldCharType="separate"/>
            </w:r>
            <w:r w:rsidR="00B13EEB">
              <w:rPr>
                <w:noProof/>
                <w:webHidden/>
              </w:rPr>
              <w:t>13</w:t>
            </w:r>
            <w:r w:rsidR="00B13EEB">
              <w:rPr>
                <w:noProof/>
                <w:webHidden/>
              </w:rPr>
              <w:fldChar w:fldCharType="end"/>
            </w:r>
          </w:hyperlink>
        </w:p>
        <w:p w14:paraId="59BF1A2A" w14:textId="1C762430" w:rsidR="00B13EEB" w:rsidRDefault="00403CEF">
          <w:pPr>
            <w:pStyle w:val="TOC1"/>
            <w:tabs>
              <w:tab w:val="right" w:leader="dot" w:pos="9350"/>
            </w:tabs>
            <w:rPr>
              <w:rFonts w:eastAsiaTheme="minorEastAsia"/>
              <w:noProof/>
              <w:sz w:val="22"/>
            </w:rPr>
          </w:pPr>
          <w:hyperlink w:anchor="_Toc95989000" w:history="1">
            <w:r w:rsidR="00B13EEB" w:rsidRPr="005A4CD1">
              <w:rPr>
                <w:rStyle w:val="Hyperlink"/>
                <w:noProof/>
              </w:rPr>
              <w:t>METHODOLOGY</w:t>
            </w:r>
            <w:r w:rsidR="00B13EEB">
              <w:rPr>
                <w:noProof/>
                <w:webHidden/>
              </w:rPr>
              <w:tab/>
            </w:r>
            <w:r w:rsidR="00B13EEB">
              <w:rPr>
                <w:noProof/>
                <w:webHidden/>
              </w:rPr>
              <w:fldChar w:fldCharType="begin"/>
            </w:r>
            <w:r w:rsidR="00B13EEB">
              <w:rPr>
                <w:noProof/>
                <w:webHidden/>
              </w:rPr>
              <w:instrText xml:space="preserve"> PAGEREF _Toc95989000 \h </w:instrText>
            </w:r>
            <w:r w:rsidR="00B13EEB">
              <w:rPr>
                <w:noProof/>
                <w:webHidden/>
              </w:rPr>
            </w:r>
            <w:r w:rsidR="00B13EEB">
              <w:rPr>
                <w:noProof/>
                <w:webHidden/>
              </w:rPr>
              <w:fldChar w:fldCharType="separate"/>
            </w:r>
            <w:r w:rsidR="00B13EEB">
              <w:rPr>
                <w:noProof/>
                <w:webHidden/>
              </w:rPr>
              <w:t>15</w:t>
            </w:r>
            <w:r w:rsidR="00B13EEB">
              <w:rPr>
                <w:noProof/>
                <w:webHidden/>
              </w:rPr>
              <w:fldChar w:fldCharType="end"/>
            </w:r>
          </w:hyperlink>
        </w:p>
        <w:p w14:paraId="135BB645" w14:textId="3B42D510" w:rsidR="00B13EEB" w:rsidRDefault="00403CEF">
          <w:pPr>
            <w:pStyle w:val="TOC1"/>
            <w:tabs>
              <w:tab w:val="right" w:leader="dot" w:pos="9350"/>
            </w:tabs>
            <w:rPr>
              <w:rFonts w:eastAsiaTheme="minorEastAsia"/>
              <w:noProof/>
              <w:sz w:val="22"/>
            </w:rPr>
          </w:pPr>
          <w:hyperlink w:anchor="_Toc95989001" w:history="1">
            <w:r w:rsidR="00B13EEB" w:rsidRPr="005A4CD1">
              <w:rPr>
                <w:rStyle w:val="Hyperlink"/>
                <w:noProof/>
              </w:rPr>
              <w:t>ABOUT EHF</w:t>
            </w:r>
            <w:r w:rsidR="00B13EEB">
              <w:rPr>
                <w:noProof/>
                <w:webHidden/>
              </w:rPr>
              <w:tab/>
            </w:r>
            <w:r w:rsidR="00B13EEB">
              <w:rPr>
                <w:noProof/>
                <w:webHidden/>
              </w:rPr>
              <w:fldChar w:fldCharType="begin"/>
            </w:r>
            <w:r w:rsidR="00B13EEB">
              <w:rPr>
                <w:noProof/>
                <w:webHidden/>
              </w:rPr>
              <w:instrText xml:space="preserve"> PAGEREF _Toc95989001 \h </w:instrText>
            </w:r>
            <w:r w:rsidR="00B13EEB">
              <w:rPr>
                <w:noProof/>
                <w:webHidden/>
              </w:rPr>
            </w:r>
            <w:r w:rsidR="00B13EEB">
              <w:rPr>
                <w:noProof/>
                <w:webHidden/>
              </w:rPr>
              <w:fldChar w:fldCharType="separate"/>
            </w:r>
            <w:r w:rsidR="00B13EEB">
              <w:rPr>
                <w:noProof/>
                <w:webHidden/>
              </w:rPr>
              <w:t>15</w:t>
            </w:r>
            <w:r w:rsidR="00B13EEB">
              <w:rPr>
                <w:noProof/>
                <w:webHidden/>
              </w:rPr>
              <w:fldChar w:fldCharType="end"/>
            </w:r>
          </w:hyperlink>
        </w:p>
        <w:p w14:paraId="406C35F4" w14:textId="6DBB5687" w:rsidR="00B13EEB" w:rsidRDefault="00403CEF">
          <w:pPr>
            <w:pStyle w:val="TOC1"/>
            <w:tabs>
              <w:tab w:val="right" w:leader="dot" w:pos="9350"/>
            </w:tabs>
            <w:rPr>
              <w:rFonts w:eastAsiaTheme="minorEastAsia"/>
              <w:noProof/>
              <w:sz w:val="22"/>
            </w:rPr>
          </w:pPr>
          <w:hyperlink w:anchor="_Toc95989002" w:history="1">
            <w:r w:rsidR="00B13EEB" w:rsidRPr="005A4CD1">
              <w:rPr>
                <w:rStyle w:val="Hyperlink"/>
                <w:noProof/>
              </w:rPr>
              <w:t>ABOUT SSRS</w:t>
            </w:r>
            <w:r w:rsidR="00B13EEB">
              <w:rPr>
                <w:noProof/>
                <w:webHidden/>
              </w:rPr>
              <w:tab/>
            </w:r>
            <w:r w:rsidR="00B13EEB">
              <w:rPr>
                <w:noProof/>
                <w:webHidden/>
              </w:rPr>
              <w:fldChar w:fldCharType="begin"/>
            </w:r>
            <w:r w:rsidR="00B13EEB">
              <w:rPr>
                <w:noProof/>
                <w:webHidden/>
              </w:rPr>
              <w:instrText xml:space="preserve"> PAGEREF _Toc95989002 \h </w:instrText>
            </w:r>
            <w:r w:rsidR="00B13EEB">
              <w:rPr>
                <w:noProof/>
                <w:webHidden/>
              </w:rPr>
            </w:r>
            <w:r w:rsidR="00B13EEB">
              <w:rPr>
                <w:noProof/>
                <w:webHidden/>
              </w:rPr>
              <w:fldChar w:fldCharType="separate"/>
            </w:r>
            <w:r w:rsidR="00B13EEB">
              <w:rPr>
                <w:noProof/>
                <w:webHidden/>
              </w:rPr>
              <w:t>15</w:t>
            </w:r>
            <w:r w:rsidR="00B13EEB">
              <w:rPr>
                <w:noProof/>
                <w:webHidden/>
              </w:rPr>
              <w:fldChar w:fldCharType="end"/>
            </w:r>
          </w:hyperlink>
        </w:p>
        <w:p w14:paraId="4C71F4AB" w14:textId="125EB706" w:rsidR="00054149" w:rsidRPr="00F4455B" w:rsidRDefault="00F626BE" w:rsidP="00A46A9E">
          <w:pPr>
            <w:tabs>
              <w:tab w:val="left" w:pos="768"/>
              <w:tab w:val="left" w:pos="5130"/>
            </w:tabs>
            <w:spacing w:after="120" w:line="240" w:lineRule="auto"/>
          </w:pPr>
          <w:r w:rsidRPr="00F4455B">
            <w:rPr>
              <w:b/>
              <w:bCs/>
              <w:noProof/>
            </w:rPr>
            <w:fldChar w:fldCharType="end"/>
          </w:r>
        </w:p>
      </w:sdtContent>
    </w:sdt>
    <w:p w14:paraId="5B5853BC" w14:textId="77777777" w:rsidR="004F02B8" w:rsidRDefault="004F02B8" w:rsidP="00072181"/>
    <w:p w14:paraId="6BF5F871" w14:textId="77777777" w:rsidR="004F02B8" w:rsidRDefault="004F02B8" w:rsidP="00072181"/>
    <w:p w14:paraId="4A2C7FD9" w14:textId="77777777" w:rsidR="004F02B8" w:rsidRDefault="004F02B8" w:rsidP="00072181"/>
    <w:p w14:paraId="71CD9F3C" w14:textId="77777777" w:rsidR="00862E6E" w:rsidRDefault="00862E6E" w:rsidP="00072181"/>
    <w:p w14:paraId="7EFA95AC" w14:textId="77777777" w:rsidR="00862E6E" w:rsidRDefault="00862E6E" w:rsidP="00072181"/>
    <w:p w14:paraId="1A34A144" w14:textId="77777777" w:rsidR="00072181" w:rsidRDefault="00072181" w:rsidP="00072181"/>
    <w:p w14:paraId="64973CF3" w14:textId="77777777" w:rsidR="00072181" w:rsidRDefault="00072181" w:rsidP="00072181"/>
    <w:p w14:paraId="377CE27F" w14:textId="77777777" w:rsidR="00072181" w:rsidRDefault="00072181" w:rsidP="00072181"/>
    <w:p w14:paraId="0C06AF27" w14:textId="78C8DB5D" w:rsidR="001871BD" w:rsidRDefault="004F02B8" w:rsidP="00072181">
      <w:pPr>
        <w:rPr>
          <w:rFonts w:cstheme="majorBidi"/>
          <w:color w:val="FF0000"/>
          <w:szCs w:val="32"/>
        </w:rPr>
      </w:pPr>
      <w:r w:rsidRPr="00862E6E">
        <w:t xml:space="preserve">Citation: Sim, S., Marks, </w:t>
      </w:r>
      <w:r>
        <w:t xml:space="preserve">Sutton, J., </w:t>
      </w:r>
      <w:r w:rsidRPr="00862E6E">
        <w:t>E., Ben-Porath, E., (202</w:t>
      </w:r>
      <w:r w:rsidR="00EA29A1">
        <w:t>2</w:t>
      </w:r>
      <w:r w:rsidRPr="00862E6E">
        <w:t xml:space="preserve">). </w:t>
      </w:r>
      <w:r w:rsidR="00EA29A1" w:rsidRPr="00EA29A1">
        <w:t>Texans’ Views on Health Policy and Experiences with Access and Affordability</w:t>
      </w:r>
      <w:r w:rsidR="00EA29A1">
        <w:t xml:space="preserve">. </w:t>
      </w:r>
    </w:p>
    <w:p w14:paraId="4C7FF15A" w14:textId="77777777" w:rsidR="001871BD" w:rsidRDefault="001871BD">
      <w:pPr>
        <w:jc w:val="left"/>
        <w:rPr>
          <w:rFonts w:cstheme="majorBidi"/>
          <w:color w:val="FF0000"/>
          <w:szCs w:val="32"/>
        </w:rPr>
      </w:pPr>
      <w:r>
        <w:rPr>
          <w:rFonts w:cstheme="majorBidi"/>
          <w:color w:val="FF0000"/>
          <w:szCs w:val="32"/>
        </w:rPr>
        <w:br w:type="page"/>
      </w:r>
    </w:p>
    <w:p w14:paraId="14D30B59" w14:textId="51940371" w:rsidR="00C60105" w:rsidRPr="00F4455B" w:rsidRDefault="00C729D1" w:rsidP="00A46A9E">
      <w:pPr>
        <w:pStyle w:val="Heading1"/>
        <w:jc w:val="both"/>
      </w:pPr>
      <w:bookmarkStart w:id="6" w:name="_Toc95988989"/>
      <w:r w:rsidRPr="00F4455B">
        <w:lastRenderedPageBreak/>
        <w:t>E</w:t>
      </w:r>
      <w:r w:rsidR="0096593E" w:rsidRPr="00F4455B">
        <w:t>XECUTIVE SUMMARY</w:t>
      </w:r>
      <w:bookmarkEnd w:id="6"/>
    </w:p>
    <w:p w14:paraId="3075291A" w14:textId="4F3F85FD" w:rsidR="00106D4D" w:rsidRPr="00796966" w:rsidRDefault="00EA29A1" w:rsidP="00A46A9E">
      <w:pPr>
        <w:tabs>
          <w:tab w:val="left" w:pos="-1080"/>
          <w:tab w:val="left" w:pos="-648"/>
          <w:tab w:val="left" w:pos="0"/>
          <w:tab w:val="left" w:pos="792"/>
          <w:tab w:val="left" w:pos="1512"/>
          <w:tab w:val="left" w:pos="2232"/>
          <w:tab w:val="left" w:pos="2952"/>
          <w:tab w:val="left" w:pos="3672"/>
          <w:tab w:val="left" w:pos="4392"/>
          <w:tab w:val="left" w:pos="5112"/>
          <w:tab w:val="left" w:pos="5832"/>
          <w:tab w:val="left" w:pos="6552"/>
          <w:tab w:val="left" w:pos="7272"/>
          <w:tab w:val="left" w:pos="7992"/>
          <w:tab w:val="left" w:pos="8712"/>
        </w:tabs>
        <w:rPr>
          <w:rFonts w:cs="Arial"/>
          <w:szCs w:val="20"/>
        </w:rPr>
      </w:pPr>
      <w:r>
        <w:rPr>
          <w:rFonts w:cs="Arial"/>
          <w:szCs w:val="20"/>
        </w:rPr>
        <w:t xml:space="preserve">The state of </w:t>
      </w:r>
      <w:r w:rsidR="006D16F3" w:rsidRPr="00F4455B">
        <w:rPr>
          <w:rFonts w:cs="Arial"/>
          <w:szCs w:val="20"/>
        </w:rPr>
        <w:t>Texas</w:t>
      </w:r>
      <w:r w:rsidR="00C00187">
        <w:rPr>
          <w:rFonts w:cs="Arial"/>
          <w:szCs w:val="20"/>
        </w:rPr>
        <w:t>,</w:t>
      </w:r>
      <w:r w:rsidR="006D16F3" w:rsidRPr="00F4455B">
        <w:rPr>
          <w:rFonts w:cs="Arial"/>
          <w:szCs w:val="20"/>
        </w:rPr>
        <w:t xml:space="preserve"> </w:t>
      </w:r>
      <w:r>
        <w:rPr>
          <w:rFonts w:cs="Arial"/>
          <w:szCs w:val="20"/>
        </w:rPr>
        <w:t xml:space="preserve">with its </w:t>
      </w:r>
      <w:r w:rsidR="00DD131F">
        <w:rPr>
          <w:rFonts w:cs="Arial"/>
          <w:szCs w:val="20"/>
        </w:rPr>
        <w:t xml:space="preserve">diverse </w:t>
      </w:r>
      <w:r w:rsidR="006D16F3" w:rsidRPr="00F4455B">
        <w:rPr>
          <w:rFonts w:cs="Arial"/>
          <w:szCs w:val="20"/>
        </w:rPr>
        <w:t xml:space="preserve">population in terms of urbanicity, income, </w:t>
      </w:r>
      <w:proofErr w:type="gramStart"/>
      <w:r w:rsidR="006D16F3" w:rsidRPr="00F4455B">
        <w:rPr>
          <w:rFonts w:cs="Arial"/>
          <w:szCs w:val="20"/>
        </w:rPr>
        <w:t>race</w:t>
      </w:r>
      <w:proofErr w:type="gramEnd"/>
      <w:r w:rsidR="006D16F3" w:rsidRPr="00F4455B">
        <w:rPr>
          <w:rFonts w:cs="Arial"/>
          <w:szCs w:val="20"/>
        </w:rPr>
        <w:t xml:space="preserve"> and ethnicity</w:t>
      </w:r>
      <w:r>
        <w:rPr>
          <w:rFonts w:cs="Arial"/>
          <w:szCs w:val="20"/>
        </w:rPr>
        <w:t>, faces a variety of challenges when it comes to health care access and affordability</w:t>
      </w:r>
      <w:r w:rsidR="006D16F3" w:rsidRPr="00F4455B">
        <w:rPr>
          <w:rFonts w:cs="Arial"/>
          <w:szCs w:val="20"/>
        </w:rPr>
        <w:t xml:space="preserve">. </w:t>
      </w:r>
      <w:r w:rsidR="00853C09">
        <w:rPr>
          <w:rFonts w:cs="Arial"/>
          <w:szCs w:val="20"/>
        </w:rPr>
        <w:t>Additionally, w</w:t>
      </w:r>
      <w:r>
        <w:rPr>
          <w:rFonts w:cs="Arial"/>
          <w:szCs w:val="20"/>
        </w:rPr>
        <w:t>ith the 2022 gubernatorial and local elections on the horizon, residents have many priorities they would like th</w:t>
      </w:r>
      <w:r w:rsidR="00106D4D">
        <w:rPr>
          <w:rFonts w:cs="Arial"/>
          <w:szCs w:val="20"/>
        </w:rPr>
        <w:t xml:space="preserve">eir state and local elected officials to address. </w:t>
      </w:r>
      <w:r w:rsidR="00236575" w:rsidRPr="00F4455B">
        <w:rPr>
          <w:rFonts w:cs="Arial"/>
          <w:szCs w:val="20"/>
        </w:rPr>
        <w:t xml:space="preserve">In the </w:t>
      </w:r>
      <w:r w:rsidR="00236575" w:rsidRPr="00092602">
        <w:rPr>
          <w:rFonts w:ascii="Segoe UI Semibold" w:hAnsi="Segoe UI Semibold" w:cs="Segoe UI Semibold"/>
          <w:bCs/>
          <w:szCs w:val="20"/>
        </w:rPr>
        <w:t>20</w:t>
      </w:r>
      <w:r w:rsidR="006D16F3" w:rsidRPr="00092602">
        <w:rPr>
          <w:rFonts w:ascii="Segoe UI Semibold" w:hAnsi="Segoe UI Semibold" w:cs="Segoe UI Semibold"/>
          <w:bCs/>
          <w:szCs w:val="20"/>
        </w:rPr>
        <w:t>2</w:t>
      </w:r>
      <w:r w:rsidR="00106D4D">
        <w:rPr>
          <w:rFonts w:ascii="Segoe UI Semibold" w:hAnsi="Segoe UI Semibold" w:cs="Segoe UI Semibold"/>
          <w:bCs/>
          <w:szCs w:val="20"/>
        </w:rPr>
        <w:t>1</w:t>
      </w:r>
      <w:r w:rsidR="00236575" w:rsidRPr="00092602">
        <w:rPr>
          <w:rFonts w:ascii="Segoe UI Semibold" w:hAnsi="Segoe UI Semibold" w:cs="Segoe UI Semibold"/>
          <w:bCs/>
          <w:szCs w:val="20"/>
        </w:rPr>
        <w:t xml:space="preserve"> Texas Health</w:t>
      </w:r>
      <w:r w:rsidR="00106D4D">
        <w:rPr>
          <w:rFonts w:ascii="Segoe UI Semibold" w:hAnsi="Segoe UI Semibold" w:cs="Segoe UI Semibold"/>
          <w:bCs/>
          <w:szCs w:val="20"/>
        </w:rPr>
        <w:t xml:space="preserve"> Tracking</w:t>
      </w:r>
      <w:r w:rsidR="00236575" w:rsidRPr="00092602">
        <w:rPr>
          <w:rFonts w:ascii="Segoe UI Semibold" w:hAnsi="Segoe UI Semibold" w:cs="Segoe UI Semibold"/>
          <w:bCs/>
          <w:szCs w:val="20"/>
        </w:rPr>
        <w:t xml:space="preserve"> survey</w:t>
      </w:r>
      <w:r w:rsidR="00236575" w:rsidRPr="00F4455B">
        <w:rPr>
          <w:rFonts w:cs="Arial"/>
          <w:szCs w:val="20"/>
        </w:rPr>
        <w:t>, Episcopal Health Foundation</w:t>
      </w:r>
      <w:r w:rsidR="00DD131F">
        <w:rPr>
          <w:rFonts w:cs="Arial"/>
          <w:szCs w:val="20"/>
        </w:rPr>
        <w:t xml:space="preserve"> (EHF)</w:t>
      </w:r>
      <w:r w:rsidR="00236575" w:rsidRPr="00F4455B">
        <w:rPr>
          <w:rFonts w:cs="Arial"/>
          <w:szCs w:val="20"/>
        </w:rPr>
        <w:t xml:space="preserve"> and SSRS </w:t>
      </w:r>
      <w:r w:rsidR="006D16F3" w:rsidRPr="00F4455B">
        <w:rPr>
          <w:rFonts w:cs="Arial"/>
          <w:szCs w:val="20"/>
        </w:rPr>
        <w:t xml:space="preserve">explored </w:t>
      </w:r>
      <w:r w:rsidR="00236575" w:rsidRPr="00F4455B">
        <w:rPr>
          <w:rFonts w:cs="Arial"/>
          <w:szCs w:val="20"/>
        </w:rPr>
        <w:t xml:space="preserve">Texans’ </w:t>
      </w:r>
      <w:r w:rsidR="00106D4D">
        <w:rPr>
          <w:rFonts w:cs="Arial"/>
          <w:szCs w:val="20"/>
        </w:rPr>
        <w:t xml:space="preserve">views on health care priorities in the state and their </w:t>
      </w:r>
      <w:r w:rsidR="006D16F3" w:rsidRPr="00F4455B">
        <w:rPr>
          <w:rFonts w:cs="Arial"/>
          <w:szCs w:val="20"/>
        </w:rPr>
        <w:t>experiences with</w:t>
      </w:r>
      <w:r w:rsidR="00DD131F">
        <w:rPr>
          <w:rFonts w:cs="Arial"/>
          <w:szCs w:val="20"/>
        </w:rPr>
        <w:t xml:space="preserve"> the affordability </w:t>
      </w:r>
      <w:r w:rsidR="00C00187">
        <w:rPr>
          <w:rFonts w:cs="Arial"/>
          <w:szCs w:val="20"/>
        </w:rPr>
        <w:t xml:space="preserve">of </w:t>
      </w:r>
      <w:r w:rsidR="00106D4D">
        <w:rPr>
          <w:rFonts w:cs="Arial"/>
          <w:szCs w:val="20"/>
        </w:rPr>
        <w:t xml:space="preserve">and </w:t>
      </w:r>
      <w:r w:rsidR="006D16F3" w:rsidRPr="00F4455B">
        <w:rPr>
          <w:rFonts w:cs="Arial"/>
          <w:szCs w:val="20"/>
        </w:rPr>
        <w:t xml:space="preserve">access to quality care. </w:t>
      </w:r>
      <w:r w:rsidR="00236575" w:rsidRPr="00F4455B">
        <w:rPr>
          <w:rFonts w:cs="Arial"/>
          <w:szCs w:val="20"/>
        </w:rPr>
        <w:t>This</w:t>
      </w:r>
      <w:r w:rsidR="00106D4D">
        <w:rPr>
          <w:rFonts w:cs="Arial"/>
          <w:szCs w:val="20"/>
        </w:rPr>
        <w:t xml:space="preserve"> report provides analysis of these data and notes where there are statistically significant differences among key demographic </w:t>
      </w:r>
      <w:r w:rsidR="00106D4D" w:rsidRPr="00796966">
        <w:rPr>
          <w:rFonts w:cs="Arial"/>
          <w:szCs w:val="20"/>
        </w:rPr>
        <w:t xml:space="preserve">groups. </w:t>
      </w:r>
      <w:r w:rsidR="00106D4D" w:rsidRPr="004E234D">
        <w:rPr>
          <w:rFonts w:cs="Arial"/>
          <w:szCs w:val="20"/>
        </w:rPr>
        <w:t xml:space="preserve">Where applicable, data from this year’s </w:t>
      </w:r>
      <w:r w:rsidR="00C00187">
        <w:rPr>
          <w:rFonts w:cs="Arial"/>
          <w:szCs w:val="20"/>
        </w:rPr>
        <w:t xml:space="preserve">survey </w:t>
      </w:r>
      <w:r w:rsidR="00106D4D" w:rsidRPr="004E234D">
        <w:rPr>
          <w:rFonts w:cs="Arial"/>
          <w:szCs w:val="20"/>
        </w:rPr>
        <w:t xml:space="preserve">are </w:t>
      </w:r>
      <w:r w:rsidR="00C00187">
        <w:rPr>
          <w:rFonts w:cs="Arial"/>
          <w:szCs w:val="20"/>
        </w:rPr>
        <w:t xml:space="preserve">compared to </w:t>
      </w:r>
      <w:r w:rsidR="00106D4D" w:rsidRPr="004E234D">
        <w:rPr>
          <w:rFonts w:cs="Arial"/>
          <w:szCs w:val="20"/>
        </w:rPr>
        <w:t>EHF Health Policy Surveys</w:t>
      </w:r>
      <w:r w:rsidR="00EB044A" w:rsidRPr="004E234D">
        <w:rPr>
          <w:rFonts w:cs="Arial"/>
          <w:szCs w:val="20"/>
        </w:rPr>
        <w:t xml:space="preserve"> from 2018, 2019, and 2020</w:t>
      </w:r>
      <w:r w:rsidR="00106D4D" w:rsidRPr="004E234D">
        <w:rPr>
          <w:rStyle w:val="FootnoteReference"/>
          <w:rFonts w:cs="Arial"/>
          <w:szCs w:val="20"/>
        </w:rPr>
        <w:footnoteReference w:id="1"/>
      </w:r>
      <w:r w:rsidR="00C00187">
        <w:rPr>
          <w:rFonts w:cs="Arial"/>
          <w:szCs w:val="20"/>
        </w:rPr>
        <w:t>.</w:t>
      </w:r>
    </w:p>
    <w:p w14:paraId="78F7DF88" w14:textId="38F3896C" w:rsidR="00EB044A" w:rsidRPr="00796966" w:rsidRDefault="00EB044A" w:rsidP="00A46A9E">
      <w:pPr>
        <w:spacing w:after="0" w:line="240" w:lineRule="auto"/>
        <w:rPr>
          <w:rFonts w:eastAsia="Times New Roman"/>
        </w:rPr>
      </w:pPr>
      <w:r w:rsidRPr="00796966">
        <w:rPr>
          <w:rFonts w:cs="Arial"/>
          <w:szCs w:val="20"/>
        </w:rPr>
        <w:t>In t</w:t>
      </w:r>
      <w:r w:rsidR="00EA09AA" w:rsidRPr="00796966">
        <w:rPr>
          <w:rFonts w:cs="Arial"/>
          <w:szCs w:val="20"/>
        </w:rPr>
        <w:t xml:space="preserve">he </w:t>
      </w:r>
      <w:r w:rsidRPr="00796966">
        <w:rPr>
          <w:rFonts w:cs="Arial"/>
          <w:szCs w:val="20"/>
        </w:rPr>
        <w:t>2021</w:t>
      </w:r>
      <w:r w:rsidR="00236575" w:rsidRPr="00796966">
        <w:rPr>
          <w:rFonts w:cs="Arial"/>
          <w:szCs w:val="20"/>
        </w:rPr>
        <w:t xml:space="preserve"> </w:t>
      </w:r>
      <w:r w:rsidR="00EA09AA" w:rsidRPr="00796966">
        <w:rPr>
          <w:rFonts w:cs="Arial"/>
          <w:szCs w:val="20"/>
        </w:rPr>
        <w:t>survey</w:t>
      </w:r>
      <w:r w:rsidRPr="00796966">
        <w:rPr>
          <w:rFonts w:cs="Arial"/>
          <w:szCs w:val="20"/>
        </w:rPr>
        <w:t>, most Texans expressed support for an increase in spending on health care (58%). Support is higher among younger adults and those with</w:t>
      </w:r>
      <w:r w:rsidRPr="00EB044A">
        <w:rPr>
          <w:rFonts w:cs="Arial"/>
          <w:szCs w:val="20"/>
        </w:rPr>
        <w:t xml:space="preserve"> a connection to Medicaid. </w:t>
      </w:r>
      <w:r w:rsidRPr="00EB044A">
        <w:rPr>
          <w:rFonts w:eastAsia="Times New Roman"/>
        </w:rPr>
        <w:t xml:space="preserve">Moreover, when asked about topics they would like to be </w:t>
      </w:r>
      <w:r w:rsidR="0016286A">
        <w:rPr>
          <w:rFonts w:eastAsia="Times New Roman"/>
        </w:rPr>
        <w:t>addressed by candidates for</w:t>
      </w:r>
      <w:r w:rsidRPr="00EB044A">
        <w:rPr>
          <w:rFonts w:eastAsia="Times New Roman"/>
        </w:rPr>
        <w:t xml:space="preserve"> governor and other public offices, three-</w:t>
      </w:r>
      <w:r w:rsidRPr="00796966">
        <w:rPr>
          <w:rFonts w:eastAsia="Times New Roman"/>
        </w:rPr>
        <w:t>quarters of adults said making health care accessible and affordable was a very important topic (76%)</w:t>
      </w:r>
      <w:r w:rsidR="0016286A" w:rsidRPr="00796966">
        <w:rPr>
          <w:rFonts w:eastAsia="Times New Roman"/>
        </w:rPr>
        <w:t>.</w:t>
      </w:r>
    </w:p>
    <w:p w14:paraId="5BCDCB51" w14:textId="77777777" w:rsidR="0016286A" w:rsidRPr="00796966" w:rsidRDefault="0016286A" w:rsidP="00A46A9E">
      <w:pPr>
        <w:spacing w:after="0" w:line="240" w:lineRule="auto"/>
        <w:rPr>
          <w:rFonts w:eastAsia="Times New Roman"/>
        </w:rPr>
      </w:pPr>
    </w:p>
    <w:p w14:paraId="674F346E" w14:textId="6703C76D" w:rsidR="0016286A" w:rsidRPr="00796966" w:rsidRDefault="0016286A" w:rsidP="00A46A9E">
      <w:pPr>
        <w:spacing w:after="0" w:line="240" w:lineRule="auto"/>
        <w:rPr>
          <w:rFonts w:eastAsia="Times New Roman"/>
        </w:rPr>
      </w:pPr>
      <w:r w:rsidRPr="004E234D">
        <w:rPr>
          <w:rFonts w:eastAsia="Times New Roman"/>
        </w:rPr>
        <w:t xml:space="preserve">When asked specifically about the health care priorities of the state, the topic ranked by most as a top priority was reducing the cost of prescription drugs (56%). </w:t>
      </w:r>
      <w:r w:rsidR="004D6530">
        <w:rPr>
          <w:rFonts w:eastAsia="Times New Roman"/>
        </w:rPr>
        <w:t>More than h</w:t>
      </w:r>
      <w:r w:rsidRPr="004E234D">
        <w:rPr>
          <w:rFonts w:eastAsia="Times New Roman"/>
        </w:rPr>
        <w:t>alf say lowering health care costs (54%), access to health insurance (53%), increased funding for mental health (50%), reducing the number of women who die from childbirth (49%), and access to hospitals in rural areas (49%) should be top priorities.</w:t>
      </w:r>
    </w:p>
    <w:p w14:paraId="23F80EF9" w14:textId="77777777" w:rsidR="0016286A" w:rsidRPr="00796966" w:rsidRDefault="0016286A" w:rsidP="00A46A9E">
      <w:pPr>
        <w:spacing w:after="0" w:line="240" w:lineRule="auto"/>
        <w:rPr>
          <w:rFonts w:eastAsia="Times New Roman"/>
        </w:rPr>
      </w:pPr>
    </w:p>
    <w:p w14:paraId="26562079" w14:textId="49AF79B4" w:rsidR="0016286A" w:rsidRDefault="0016286A" w:rsidP="00A46A9E">
      <w:pPr>
        <w:spacing w:after="0" w:line="240" w:lineRule="auto"/>
        <w:rPr>
          <w:rFonts w:eastAsia="Times New Roman"/>
        </w:rPr>
      </w:pPr>
      <w:proofErr w:type="gramStart"/>
      <w:r w:rsidRPr="00796966">
        <w:rPr>
          <w:rFonts w:eastAsia="Times New Roman"/>
        </w:rPr>
        <w:t>The majority of</w:t>
      </w:r>
      <w:proofErr w:type="gramEnd"/>
      <w:r w:rsidRPr="00796966">
        <w:rPr>
          <w:rFonts w:eastAsia="Times New Roman"/>
        </w:rPr>
        <w:t xml:space="preserve"> Texans have at least a somewhat favorable opinion of Medicaid (64%; 27% Very favorable; 37% Somewhat favorable) and about half say the program is working well (48%). Additionally, nearly</w:t>
      </w:r>
      <w:r w:rsidR="00435B24" w:rsidRPr="00796966">
        <w:rPr>
          <w:rFonts w:eastAsia="Times New Roman"/>
        </w:rPr>
        <w:t xml:space="preserve"> seven</w:t>
      </w:r>
      <w:r w:rsidRPr="00796966">
        <w:rPr>
          <w:rFonts w:eastAsia="Times New Roman"/>
        </w:rPr>
        <w:t xml:space="preserve"> in </w:t>
      </w:r>
      <w:r w:rsidR="00435B24" w:rsidRPr="00796966">
        <w:rPr>
          <w:rFonts w:eastAsia="Times New Roman"/>
        </w:rPr>
        <w:t>ten</w:t>
      </w:r>
      <w:r w:rsidRPr="00796966">
        <w:rPr>
          <w:rFonts w:eastAsia="Times New Roman"/>
        </w:rPr>
        <w:t xml:space="preserve"> residents support expanding</w:t>
      </w:r>
      <w:r>
        <w:rPr>
          <w:rFonts w:eastAsia="Times New Roman"/>
        </w:rPr>
        <w:t xml:space="preserve"> Medicaid to cover more low-income adults under the Affordable Care Act (69%).</w:t>
      </w:r>
      <w:r w:rsidR="00435B24">
        <w:rPr>
          <w:rFonts w:eastAsia="Times New Roman"/>
        </w:rPr>
        <w:t xml:space="preserve"> </w:t>
      </w:r>
    </w:p>
    <w:p w14:paraId="6A25D33D" w14:textId="77777777" w:rsidR="002A5ABA" w:rsidRPr="0016286A" w:rsidRDefault="002A5ABA" w:rsidP="00A46A9E">
      <w:pPr>
        <w:spacing w:after="0" w:line="240" w:lineRule="auto"/>
        <w:rPr>
          <w:rFonts w:eastAsia="Times New Roman"/>
        </w:rPr>
      </w:pPr>
    </w:p>
    <w:p w14:paraId="52AB7CC8" w14:textId="170683BB" w:rsidR="0016286A" w:rsidRDefault="0016286A" w:rsidP="00A46A9E">
      <w:pPr>
        <w:tabs>
          <w:tab w:val="left" w:pos="-1080"/>
          <w:tab w:val="left" w:pos="-648"/>
          <w:tab w:val="left" w:pos="0"/>
          <w:tab w:val="left" w:pos="792"/>
          <w:tab w:val="left" w:pos="1512"/>
          <w:tab w:val="left" w:pos="2232"/>
          <w:tab w:val="left" w:pos="2952"/>
          <w:tab w:val="left" w:pos="3672"/>
          <w:tab w:val="left" w:pos="4392"/>
          <w:tab w:val="left" w:pos="5112"/>
          <w:tab w:val="left" w:pos="5832"/>
          <w:tab w:val="left" w:pos="6552"/>
          <w:tab w:val="left" w:pos="7272"/>
          <w:tab w:val="left" w:pos="7992"/>
          <w:tab w:val="left" w:pos="8712"/>
        </w:tabs>
        <w:rPr>
          <w:rFonts w:cs="Arial"/>
          <w:szCs w:val="20"/>
        </w:rPr>
      </w:pPr>
      <w:r>
        <w:rPr>
          <w:rFonts w:cs="Arial"/>
          <w:szCs w:val="20"/>
        </w:rPr>
        <w:t xml:space="preserve">This support for Medicaid may be associated with the problems many Texans have </w:t>
      </w:r>
      <w:r w:rsidR="002A5ABA">
        <w:rPr>
          <w:rFonts w:cs="Arial"/>
          <w:szCs w:val="20"/>
        </w:rPr>
        <w:t xml:space="preserve">affording and accessing health care. </w:t>
      </w:r>
      <w:r w:rsidR="002A5ABA" w:rsidRPr="002A5ABA">
        <w:rPr>
          <w:rFonts w:cs="Arial"/>
          <w:szCs w:val="20"/>
        </w:rPr>
        <w:t xml:space="preserve">When asked how easy it is to afford </w:t>
      </w:r>
      <w:proofErr w:type="gramStart"/>
      <w:r w:rsidR="002A5ABA">
        <w:rPr>
          <w:rFonts w:cs="Arial"/>
          <w:szCs w:val="20"/>
        </w:rPr>
        <w:t xml:space="preserve">basic </w:t>
      </w:r>
      <w:r w:rsidR="002A5ABA" w:rsidRPr="002A5ABA">
        <w:rPr>
          <w:rFonts w:cs="Arial"/>
          <w:szCs w:val="20"/>
        </w:rPr>
        <w:t>necessities</w:t>
      </w:r>
      <w:proofErr w:type="gramEnd"/>
      <w:r w:rsidR="002A5ABA" w:rsidRPr="002A5ABA">
        <w:rPr>
          <w:rFonts w:cs="Arial"/>
          <w:szCs w:val="20"/>
        </w:rPr>
        <w:t>, health care rank</w:t>
      </w:r>
      <w:r w:rsidR="004D6530">
        <w:rPr>
          <w:rFonts w:cs="Arial"/>
          <w:szCs w:val="20"/>
        </w:rPr>
        <w:t>s</w:t>
      </w:r>
      <w:r w:rsidR="002A5ABA" w:rsidRPr="002A5ABA">
        <w:rPr>
          <w:rFonts w:cs="Arial"/>
          <w:szCs w:val="20"/>
        </w:rPr>
        <w:t xml:space="preserve"> as one of the more difficult needs to afford with almost half of Texas adults saying it was very or somewhat difficult (48%).</w:t>
      </w:r>
      <w:r w:rsidR="002A5ABA">
        <w:rPr>
          <w:rFonts w:cs="Arial"/>
          <w:szCs w:val="20"/>
        </w:rPr>
        <w:t xml:space="preserve"> One-third said they have had problems paying medical bills in the past year (</w:t>
      </w:r>
      <w:r w:rsidR="005250E9">
        <w:rPr>
          <w:rFonts w:cs="Arial"/>
          <w:szCs w:val="20"/>
        </w:rPr>
        <w:t>35</w:t>
      </w:r>
      <w:r w:rsidR="00796966">
        <w:rPr>
          <w:rFonts w:cs="Arial"/>
          <w:szCs w:val="20"/>
        </w:rPr>
        <w:t>%</w:t>
      </w:r>
      <w:r w:rsidR="002A5ABA">
        <w:rPr>
          <w:rFonts w:cs="Arial"/>
          <w:szCs w:val="20"/>
        </w:rPr>
        <w:t xml:space="preserve">) and the majority </w:t>
      </w:r>
      <w:r w:rsidR="00C00187">
        <w:rPr>
          <w:rFonts w:cs="Arial"/>
          <w:szCs w:val="20"/>
        </w:rPr>
        <w:t>say</w:t>
      </w:r>
      <w:r w:rsidR="002A5ABA">
        <w:rPr>
          <w:rFonts w:cs="Arial"/>
          <w:szCs w:val="20"/>
        </w:rPr>
        <w:t xml:space="preserve"> they have skipped or postponed care due to the cost (59%). </w:t>
      </w:r>
    </w:p>
    <w:p w14:paraId="248CF185" w14:textId="77777777" w:rsidR="002F06E6" w:rsidRPr="00F4455B" w:rsidRDefault="002F06E6" w:rsidP="00A46A9E">
      <w:pPr>
        <w:pStyle w:val="Heading1"/>
        <w:jc w:val="both"/>
      </w:pPr>
      <w:r w:rsidRPr="00F4455B">
        <w:br w:type="page"/>
      </w:r>
    </w:p>
    <w:p w14:paraId="604BEC35" w14:textId="0516ABF2" w:rsidR="00C60105" w:rsidRPr="00F4455B" w:rsidRDefault="002815CC" w:rsidP="002225F5">
      <w:pPr>
        <w:pStyle w:val="Heading1"/>
      </w:pPr>
      <w:bookmarkStart w:id="7" w:name="_Toc95988990"/>
      <w:r>
        <w:rPr>
          <w:caps w:val="0"/>
        </w:rPr>
        <w:lastRenderedPageBreak/>
        <w:t xml:space="preserve">ISSUES </w:t>
      </w:r>
      <w:r w:rsidR="00721FEB">
        <w:rPr>
          <w:caps w:val="0"/>
        </w:rPr>
        <w:t>FOR TEXAS LEGISLATURE AND LOCAL ELECTED OFFICIALS</w:t>
      </w:r>
      <w:bookmarkEnd w:id="7"/>
    </w:p>
    <w:p w14:paraId="5255DE22" w14:textId="762C030A" w:rsidR="005D1A01" w:rsidRDefault="00FF4E07" w:rsidP="00A46A9E">
      <w:r w:rsidRPr="00F4455B">
        <w:t>T</w:t>
      </w:r>
      <w:r w:rsidR="00564C98" w:rsidRPr="00F4455B">
        <w:t xml:space="preserve">he </w:t>
      </w:r>
      <w:r w:rsidRPr="00F4455B">
        <w:t>20</w:t>
      </w:r>
      <w:r w:rsidR="00F55A42" w:rsidRPr="00F4455B">
        <w:t>2</w:t>
      </w:r>
      <w:r w:rsidR="002815CC">
        <w:t>1</w:t>
      </w:r>
      <w:r w:rsidRPr="00F4455B">
        <w:t xml:space="preserve"> Texas Health Policy Survey </w:t>
      </w:r>
      <w:r w:rsidR="00564C98" w:rsidRPr="00F4455B">
        <w:t>finds that</w:t>
      </w:r>
      <w:r w:rsidR="00ED5A50" w:rsidRPr="00F4455B">
        <w:t xml:space="preserve"> </w:t>
      </w:r>
      <w:r w:rsidR="003D13DF">
        <w:t>most Texans would support the Texas state legislature increasing spending on health care programs (58%). Only eight percent sa</w:t>
      </w:r>
      <w:r w:rsidR="0011002F">
        <w:t>y</w:t>
      </w:r>
      <w:r w:rsidR="003D13DF">
        <w:t xml:space="preserve"> they think spending should decrease and 27 percent said spending should stay about the same. Support for an increase in health care spending is higher among residents under age 65 (60%) in comparison to those 65 or older (52%). Additionally, Black residents</w:t>
      </w:r>
      <w:r w:rsidR="00BF1327">
        <w:t xml:space="preserve"> </w:t>
      </w:r>
      <w:r w:rsidR="000A6F03">
        <w:t>(81%)</w:t>
      </w:r>
      <w:r w:rsidR="00923363">
        <w:t xml:space="preserve"> </w:t>
      </w:r>
      <w:r w:rsidR="003D13DF">
        <w:t>are more likely</w:t>
      </w:r>
      <w:r w:rsidR="001C72F9">
        <w:t xml:space="preserve"> to</w:t>
      </w:r>
      <w:r w:rsidR="003D13DF">
        <w:t xml:space="preserve"> support an increase</w:t>
      </w:r>
      <w:r w:rsidR="001C72F9">
        <w:t xml:space="preserve"> in</w:t>
      </w:r>
      <w:r w:rsidR="003D13DF">
        <w:t xml:space="preserve"> </w:t>
      </w:r>
      <w:r w:rsidR="00DA7089">
        <w:t>health care spending than White (53%) and Hispanic (58%) residents</w:t>
      </w:r>
      <w:r w:rsidR="0094197C">
        <w:t xml:space="preserve"> (Chart 1)</w:t>
      </w:r>
      <w:r w:rsidR="00DA7089">
        <w:t xml:space="preserve">. </w:t>
      </w:r>
    </w:p>
    <w:p w14:paraId="4D4F5943" w14:textId="69E2F88F" w:rsidR="007A5B10" w:rsidRDefault="001D476D" w:rsidP="00414F88">
      <w:pPr>
        <w:tabs>
          <w:tab w:val="left" w:pos="9270"/>
        </w:tabs>
      </w:pPr>
      <w:r>
        <w:rPr>
          <w:rFonts w:cs="Arial"/>
          <w:noProof/>
          <w:szCs w:val="20"/>
          <w:lang w:bidi="he-IL"/>
        </w:rPr>
        <mc:AlternateContent>
          <mc:Choice Requires="wps">
            <w:drawing>
              <wp:anchor distT="0" distB="0" distL="114300" distR="114300" simplePos="0" relativeHeight="251722752" behindDoc="0" locked="0" layoutInCell="1" allowOverlap="1" wp14:anchorId="0597D222" wp14:editId="016793C2">
                <wp:simplePos x="0" y="0"/>
                <wp:positionH relativeFrom="column">
                  <wp:posOffset>364490</wp:posOffset>
                </wp:positionH>
                <wp:positionV relativeFrom="paragraph">
                  <wp:posOffset>2504771</wp:posOffset>
                </wp:positionV>
                <wp:extent cx="5363210" cy="0"/>
                <wp:effectExtent l="0" t="0" r="0" b="0"/>
                <wp:wrapNone/>
                <wp:docPr id="18" name="Straight Connector 18"/>
                <wp:cNvGraphicFramePr/>
                <a:graphic xmlns:a="http://schemas.openxmlformats.org/drawingml/2006/main">
                  <a:graphicData uri="http://schemas.microsoft.com/office/word/2010/wordprocessingShape">
                    <wps:wsp>
                      <wps:cNvCnPr/>
                      <wps:spPr>
                        <a:xfrm>
                          <a:off x="0" y="0"/>
                          <a:ext cx="5363210" cy="0"/>
                        </a:xfrm>
                        <a:prstGeom prst="line">
                          <a:avLst/>
                        </a:prstGeom>
                        <a:ln w="9525" cap="flat" cmpd="sng" algn="ctr">
                          <a:solidFill>
                            <a:schemeClr val="bg1">
                              <a:lumMod val="7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anchor>
            </w:drawing>
          </mc:Choice>
          <mc:Fallback>
            <w:pict>
              <v:line w14:anchorId="3EC033BA" id="Straight Connector 18" o:spid="_x0000_s1026" style="position:absolute;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7pt,197.25pt" to="451pt,19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" strokecolor="#bfbfbf [2412]">
                <v:stroke dashstyle="dash"/>
              </v:line>
            </w:pict>
          </mc:Fallback>
        </mc:AlternateContent>
      </w:r>
      <w:r>
        <w:rPr>
          <w:rFonts w:cs="Arial"/>
          <w:noProof/>
          <w:szCs w:val="20"/>
          <w:lang w:bidi="he-IL"/>
        </w:rPr>
        <mc:AlternateContent>
          <mc:Choice Requires="wps">
            <w:drawing>
              <wp:anchor distT="0" distB="0" distL="114300" distR="114300" simplePos="0" relativeHeight="251720704" behindDoc="0" locked="0" layoutInCell="1" allowOverlap="1" wp14:anchorId="37BA51AD" wp14:editId="436673A5">
                <wp:simplePos x="0" y="0"/>
                <wp:positionH relativeFrom="column">
                  <wp:posOffset>361315</wp:posOffset>
                </wp:positionH>
                <wp:positionV relativeFrom="paragraph">
                  <wp:posOffset>1653871</wp:posOffset>
                </wp:positionV>
                <wp:extent cx="5363210"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5363210" cy="0"/>
                        </a:xfrm>
                        <a:prstGeom prst="line">
                          <a:avLst/>
                        </a:prstGeom>
                        <a:ln w="9525" cap="flat" cmpd="sng" algn="ctr">
                          <a:solidFill>
                            <a:schemeClr val="bg1">
                              <a:lumMod val="7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anchor>
            </w:drawing>
          </mc:Choice>
          <mc:Fallback>
            <w:pict>
              <v:line w14:anchorId="05519A2D" id="Straight Connector 17" o:spid="_x0000_s1026" style="position:absolute;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45pt,130.25pt" to="450.75pt,1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" strokecolor="#bfbfbf [2412]">
                <v:stroke dashstyle="dash"/>
              </v:line>
            </w:pict>
          </mc:Fallback>
        </mc:AlternateContent>
      </w:r>
      <w:r w:rsidR="007A5B10" w:rsidRPr="007A5B10">
        <w:rPr>
          <w:rFonts w:cs="Arial"/>
          <w:noProof/>
          <w:szCs w:val="20"/>
          <w:shd w:val="clear" w:color="auto" w:fill="000000" w:themeFill="text2"/>
          <w:lang w:bidi="he-IL"/>
        </w:rPr>
        <w:drawing>
          <wp:inline distT="0" distB="0" distL="0" distR="0" wp14:anchorId="651DB6AC" wp14:editId="2F5C9830">
            <wp:extent cx="5915770" cy="3975100"/>
            <wp:effectExtent l="0" t="0" r="8890" b="63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ED39FA6" w14:textId="29C9456E" w:rsidR="00DA7089" w:rsidRDefault="000A6F03" w:rsidP="00A46A9E">
      <w:r>
        <w:t xml:space="preserve">Texans </w:t>
      </w:r>
      <w:r w:rsidR="00DA7089">
        <w:t xml:space="preserve">in this year’s survey were also asked what topics they think are important for candidates running for state and local public office to address in their campaigns. More than three-quarters said making health care more affordable and accessible </w:t>
      </w:r>
      <w:r w:rsidR="00C367F5">
        <w:t xml:space="preserve">is a very important topic for candidates to address (76%). </w:t>
      </w:r>
    </w:p>
    <w:p w14:paraId="3893647C" w14:textId="760FF001" w:rsidR="0094197C" w:rsidRDefault="00C367F5" w:rsidP="00A46A9E">
      <w:r>
        <w:t xml:space="preserve">The only issue receiving more support for an increase in spending was </w:t>
      </w:r>
      <w:r w:rsidR="00825C07">
        <w:t>public education with 71 percent saying they think the state legislature should increase spending in this area. Similarly, a large majority also say it is very important for candidates running for state and local office to address K through 12 education</w:t>
      </w:r>
      <w:r w:rsidR="0094197C">
        <w:t xml:space="preserve"> (Chart 2)</w:t>
      </w:r>
      <w:r w:rsidR="00825C07">
        <w:t>.</w:t>
      </w:r>
    </w:p>
    <w:p w14:paraId="5C7750F2" w14:textId="0E4AB53A" w:rsidR="00E64B93" w:rsidRDefault="00E64B93" w:rsidP="00A46A9E"/>
    <w:p w14:paraId="40F474BF" w14:textId="5CBB376F" w:rsidR="00D112E8" w:rsidRPr="0071344E" w:rsidRDefault="00E64B93" w:rsidP="00A46A9E">
      <w:pPr>
        <w:rPr>
          <w:i/>
          <w:iCs/>
          <w:sz w:val="16"/>
          <w:szCs w:val="16"/>
        </w:rPr>
      </w:pPr>
      <w:r w:rsidRPr="007A5B10">
        <w:rPr>
          <w:rFonts w:cs="Arial"/>
          <w:noProof/>
          <w:szCs w:val="20"/>
          <w:shd w:val="clear" w:color="auto" w:fill="000000" w:themeFill="text2"/>
          <w:lang w:bidi="he-IL"/>
        </w:rPr>
        <w:lastRenderedPageBreak/>
        <w:drawing>
          <wp:inline distT="0" distB="0" distL="0" distR="0" wp14:anchorId="201100D3" wp14:editId="4DA7B71F">
            <wp:extent cx="5883965" cy="4238625"/>
            <wp:effectExtent l="0" t="0" r="2540" b="952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D112E8" w:rsidRPr="0071344E">
        <w:rPr>
          <w:sz w:val="16"/>
          <w:szCs w:val="16"/>
        </w:rPr>
        <w:t>*</w:t>
      </w:r>
      <w:r w:rsidR="00D112E8" w:rsidRPr="0071344E">
        <w:rPr>
          <w:i/>
          <w:iCs/>
          <w:sz w:val="16"/>
          <w:szCs w:val="16"/>
        </w:rPr>
        <w:t>Don’t know/Refused not shown</w:t>
      </w:r>
    </w:p>
    <w:p w14:paraId="59ACA5F0" w14:textId="30636589" w:rsidR="007100E7" w:rsidRDefault="00825C07" w:rsidP="00A46A9E">
      <w:r>
        <w:t>Just over half, support an increase in spending on public safety</w:t>
      </w:r>
      <w:r w:rsidR="007A5B10">
        <w:t xml:space="preserve"> (56%)</w:t>
      </w:r>
      <w:r w:rsidR="007100E7">
        <w:t xml:space="preserve"> with 77 percent saying crime and public safety are very important for candidates to address in their campaigns.</w:t>
      </w:r>
      <w:r w:rsidR="0011002F">
        <w:t xml:space="preserve"> </w:t>
      </w:r>
      <w:r w:rsidR="007100E7">
        <w:t>Slightly more than half also support an increase in infrastructure spending (54%) with half also saying it is very important for candidates to discuss this in their campaigns (53%).</w:t>
      </w:r>
      <w:r w:rsidR="0094197C">
        <w:t xml:space="preserve"> </w:t>
      </w:r>
      <w:r w:rsidR="0094197C" w:rsidRPr="001F4BFE">
        <w:rPr>
          <w:rFonts w:eastAsia="Times New Roman"/>
        </w:rPr>
        <w:t>However, when asked specifically about preparedness for natural disasters, seven in ten said this was a very important topic for candidates to address (</w:t>
      </w:r>
      <w:r w:rsidR="00FD2D21">
        <w:rPr>
          <w:rFonts w:eastAsia="Times New Roman"/>
        </w:rPr>
        <w:t>74</w:t>
      </w:r>
      <w:r w:rsidR="0094197C" w:rsidRPr="001F4BFE">
        <w:rPr>
          <w:rFonts w:eastAsia="Times New Roman"/>
        </w:rPr>
        <w:t xml:space="preserve">%). </w:t>
      </w:r>
      <w:r w:rsidR="00A90B6A">
        <w:rPr>
          <w:rFonts w:eastAsia="Times New Roman"/>
        </w:rPr>
        <w:t>C</w:t>
      </w:r>
      <w:r w:rsidR="0094197C" w:rsidRPr="001F4BFE">
        <w:rPr>
          <w:rFonts w:eastAsia="Times New Roman"/>
        </w:rPr>
        <w:t>limate change was rated as very important by significantly fewer Texans (42%)</w:t>
      </w:r>
      <w:r w:rsidR="00D76840">
        <w:rPr>
          <w:rFonts w:eastAsia="Times New Roman"/>
        </w:rPr>
        <w:t xml:space="preserve"> (Chart 3)</w:t>
      </w:r>
      <w:r w:rsidR="0094197C" w:rsidRPr="001F4BFE">
        <w:rPr>
          <w:rFonts w:eastAsia="Times New Roman"/>
        </w:rPr>
        <w:t>.</w:t>
      </w:r>
      <w:r w:rsidR="007100E7">
        <w:t xml:space="preserve"> </w:t>
      </w:r>
      <w:r w:rsidR="0094197C">
        <w:t xml:space="preserve">Transportation (38%) and welfare programs (38%) both received less support for an increase in spending. </w:t>
      </w:r>
    </w:p>
    <w:p w14:paraId="04AE8F58" w14:textId="154A8A0C" w:rsidR="00E64B93" w:rsidRPr="0071344E" w:rsidRDefault="00E64B93" w:rsidP="00A46A9E">
      <w:pPr>
        <w:rPr>
          <w:i/>
          <w:iCs/>
          <w:sz w:val="16"/>
          <w:szCs w:val="16"/>
        </w:rPr>
      </w:pPr>
      <w:r w:rsidRPr="00CF51FC">
        <w:rPr>
          <w:rFonts w:cs="Arial"/>
          <w:noProof/>
          <w:szCs w:val="20"/>
          <w:shd w:val="clear" w:color="auto" w:fill="808080" w:themeFill="background1" w:themeFillShade="80"/>
          <w:lang w:bidi="he-IL"/>
        </w:rPr>
        <w:lastRenderedPageBreak/>
        <w:drawing>
          <wp:inline distT="0" distB="0" distL="0" distR="0" wp14:anchorId="243DD104" wp14:editId="44F3C2E3">
            <wp:extent cx="5939624" cy="4686300"/>
            <wp:effectExtent l="0" t="0" r="4445"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71344E">
        <w:rPr>
          <w:sz w:val="16"/>
          <w:szCs w:val="16"/>
        </w:rPr>
        <w:t>*</w:t>
      </w:r>
      <w:r w:rsidRPr="0071344E">
        <w:rPr>
          <w:i/>
          <w:iCs/>
          <w:sz w:val="16"/>
          <w:szCs w:val="16"/>
        </w:rPr>
        <w:t>Don’t know/Refused not shown</w:t>
      </w:r>
    </w:p>
    <w:p w14:paraId="40CE4626" w14:textId="78B65E92" w:rsidR="00840554" w:rsidRPr="00F4455B" w:rsidRDefault="00840554" w:rsidP="00A46A9E">
      <w:pPr>
        <w:contextualSpacing/>
        <w:rPr>
          <w:b/>
        </w:rPr>
      </w:pPr>
    </w:p>
    <w:p w14:paraId="4CDF1841" w14:textId="77777777" w:rsidR="002E0227" w:rsidRDefault="002E0227" w:rsidP="00A46A9E">
      <w:pPr>
        <w:rPr>
          <w:rFonts w:asciiTheme="majorHAnsi" w:eastAsiaTheme="majorEastAsia" w:hAnsiTheme="majorHAnsi" w:cstheme="majorBidi"/>
          <w:b/>
          <w:color w:val="444444" w:themeColor="text1" w:themeTint="E6"/>
          <w:sz w:val="32"/>
          <w:szCs w:val="32"/>
        </w:rPr>
      </w:pPr>
      <w:r>
        <w:rPr>
          <w:caps/>
        </w:rPr>
        <w:br w:type="page"/>
      </w:r>
    </w:p>
    <w:p w14:paraId="03A8DE6E" w14:textId="07083B03" w:rsidR="000108FA" w:rsidRDefault="002E0227" w:rsidP="00A46A9E">
      <w:pPr>
        <w:pStyle w:val="Heading1"/>
        <w:jc w:val="both"/>
        <w:rPr>
          <w:caps w:val="0"/>
        </w:rPr>
      </w:pPr>
      <w:bookmarkStart w:id="8" w:name="_Toc95988991"/>
      <w:r>
        <w:rPr>
          <w:caps w:val="0"/>
        </w:rPr>
        <w:lastRenderedPageBreak/>
        <w:t>HEALTH CARE ISSUES FOR THE STATE</w:t>
      </w:r>
      <w:bookmarkEnd w:id="8"/>
    </w:p>
    <w:p w14:paraId="61CC939E" w14:textId="6F132AFA" w:rsidR="008D21F0" w:rsidRPr="008D21F0" w:rsidRDefault="008D21F0" w:rsidP="00A46A9E">
      <w:pPr>
        <w:pStyle w:val="Heading2"/>
      </w:pPr>
      <w:bookmarkStart w:id="9" w:name="_Toc95988992"/>
      <w:r>
        <w:t>Top Health Care Priorities</w:t>
      </w:r>
      <w:bookmarkEnd w:id="9"/>
    </w:p>
    <w:p w14:paraId="1B36471F" w14:textId="6CE3A1A7" w:rsidR="002E0227" w:rsidRDefault="002E0227" w:rsidP="00A46A9E">
      <w:pPr>
        <w:contextualSpacing/>
        <w:rPr>
          <w:rFonts w:cs="Arial"/>
          <w:szCs w:val="20"/>
        </w:rPr>
      </w:pPr>
      <w:bookmarkStart w:id="10" w:name="_Hlk91146496"/>
      <w:r w:rsidRPr="002E0227">
        <w:rPr>
          <w:rFonts w:cs="Arial"/>
          <w:szCs w:val="20"/>
        </w:rPr>
        <w:t xml:space="preserve">When asked about health care priorities </w:t>
      </w:r>
      <w:r w:rsidR="008D21F0">
        <w:rPr>
          <w:rFonts w:cs="Arial"/>
          <w:szCs w:val="20"/>
        </w:rPr>
        <w:t>specifically</w:t>
      </w:r>
      <w:r w:rsidRPr="002E0227">
        <w:rPr>
          <w:rFonts w:cs="Arial"/>
          <w:szCs w:val="20"/>
        </w:rPr>
        <w:t xml:space="preserve">, </w:t>
      </w:r>
      <w:r w:rsidR="00747B51">
        <w:rPr>
          <w:rFonts w:cs="Arial"/>
          <w:szCs w:val="20"/>
        </w:rPr>
        <w:t xml:space="preserve">issues involving cost and access </w:t>
      </w:r>
      <w:r w:rsidR="00A90B6A">
        <w:rPr>
          <w:rFonts w:cs="Arial"/>
          <w:szCs w:val="20"/>
        </w:rPr>
        <w:t>tended to rank</w:t>
      </w:r>
      <w:r w:rsidR="000B4443">
        <w:rPr>
          <w:rFonts w:cs="Arial"/>
          <w:szCs w:val="20"/>
        </w:rPr>
        <w:t xml:space="preserve"> as</w:t>
      </w:r>
      <w:r w:rsidR="00747B51">
        <w:rPr>
          <w:rFonts w:cs="Arial"/>
          <w:szCs w:val="20"/>
        </w:rPr>
        <w:t xml:space="preserve"> top priorities. </w:t>
      </w:r>
      <w:r w:rsidR="004E0CBB">
        <w:rPr>
          <w:rFonts w:cs="Arial"/>
          <w:szCs w:val="20"/>
        </w:rPr>
        <w:t>The majority</w:t>
      </w:r>
      <w:r w:rsidR="00747B51">
        <w:rPr>
          <w:rFonts w:cs="Arial"/>
          <w:szCs w:val="20"/>
        </w:rPr>
        <w:t xml:space="preserve"> say </w:t>
      </w:r>
      <w:r w:rsidRPr="002E0227">
        <w:rPr>
          <w:rFonts w:cs="Arial"/>
          <w:szCs w:val="20"/>
        </w:rPr>
        <w:t>reducing the cost of prescription drugs</w:t>
      </w:r>
      <w:r w:rsidR="00747B51">
        <w:rPr>
          <w:rFonts w:cs="Arial"/>
          <w:szCs w:val="20"/>
        </w:rPr>
        <w:t xml:space="preserve"> (56%), reducing the amount individuals pay for health care (54%</w:t>
      </w:r>
      <w:r w:rsidR="004B2F97">
        <w:rPr>
          <w:rFonts w:cs="Arial"/>
          <w:szCs w:val="20"/>
        </w:rPr>
        <w:t>) and</w:t>
      </w:r>
      <w:r w:rsidR="00747B51">
        <w:rPr>
          <w:rFonts w:cs="Arial"/>
          <w:szCs w:val="20"/>
        </w:rPr>
        <w:t xml:space="preserve"> increasing access to health insurance (53%) should be top priorities</w:t>
      </w:r>
      <w:r w:rsidRPr="002E0227">
        <w:rPr>
          <w:rFonts w:cs="Arial"/>
          <w:szCs w:val="20"/>
        </w:rPr>
        <w:t>.</w:t>
      </w:r>
      <w:r w:rsidR="00191350">
        <w:rPr>
          <w:rFonts w:cs="Arial"/>
          <w:szCs w:val="20"/>
        </w:rPr>
        <w:t xml:space="preserve"> Half say increased funding for mental health program</w:t>
      </w:r>
      <w:r w:rsidR="00B65754">
        <w:rPr>
          <w:rFonts w:cs="Arial"/>
          <w:szCs w:val="20"/>
        </w:rPr>
        <w:t>s</w:t>
      </w:r>
      <w:r w:rsidR="00191350">
        <w:rPr>
          <w:rFonts w:cs="Arial"/>
          <w:szCs w:val="20"/>
        </w:rPr>
        <w:t xml:space="preserve"> should be a top priority (50%).</w:t>
      </w:r>
      <w:r w:rsidR="003C72A2">
        <w:rPr>
          <w:rFonts w:cs="Arial"/>
          <w:szCs w:val="20"/>
        </w:rPr>
        <w:t xml:space="preserve"> </w:t>
      </w:r>
      <w:r w:rsidR="001752DD">
        <w:rPr>
          <w:rFonts w:cs="Arial"/>
          <w:szCs w:val="20"/>
        </w:rPr>
        <w:t>Nearly half also view access to hospitals in rural areas (4</w:t>
      </w:r>
      <w:r w:rsidR="00191350">
        <w:rPr>
          <w:rFonts w:cs="Arial"/>
          <w:szCs w:val="20"/>
        </w:rPr>
        <w:t>9</w:t>
      </w:r>
      <w:r w:rsidR="001752DD">
        <w:rPr>
          <w:rFonts w:cs="Arial"/>
          <w:szCs w:val="20"/>
        </w:rPr>
        <w:t>%) and expanding Medicaid to cover more low-income Texans (47%) as top priorities. About half also say reducing maternal mortality should be a top priority</w:t>
      </w:r>
      <w:r w:rsidR="004E0CBB">
        <w:rPr>
          <w:rFonts w:cs="Arial"/>
          <w:szCs w:val="20"/>
        </w:rPr>
        <w:t xml:space="preserve"> (49%)</w:t>
      </w:r>
      <w:r w:rsidR="001752DD">
        <w:rPr>
          <w:rFonts w:cs="Arial"/>
          <w:szCs w:val="20"/>
        </w:rPr>
        <w:t>. Access to family planning and contraception services is a top priority for 44 percent of Texas adults. Fewer Texans think dealing with the prescription painki</w:t>
      </w:r>
      <w:r w:rsidR="002E1DEC">
        <w:rPr>
          <w:rFonts w:cs="Arial"/>
          <w:szCs w:val="20"/>
        </w:rPr>
        <w:t>ller epidemic should be a top priority (38%). Only one in five say the state’s top priority should be decreasing spending on health care</w:t>
      </w:r>
      <w:r w:rsidR="000B4443">
        <w:rPr>
          <w:rFonts w:cs="Arial"/>
          <w:szCs w:val="20"/>
        </w:rPr>
        <w:t xml:space="preserve"> (21%)</w:t>
      </w:r>
      <w:r w:rsidR="002E1DEC">
        <w:rPr>
          <w:rFonts w:cs="Arial"/>
          <w:szCs w:val="20"/>
        </w:rPr>
        <w:t xml:space="preserve">. In fact, </w:t>
      </w:r>
      <w:r w:rsidR="004E0CBB">
        <w:rPr>
          <w:rFonts w:cs="Arial"/>
          <w:szCs w:val="20"/>
        </w:rPr>
        <w:t xml:space="preserve">one third say this </w:t>
      </w:r>
      <w:r w:rsidR="002E1DEC">
        <w:rPr>
          <w:rFonts w:cs="Arial"/>
          <w:szCs w:val="20"/>
        </w:rPr>
        <w:t xml:space="preserve">should not be done (35%) (Chart 4). </w:t>
      </w:r>
    </w:p>
    <w:p w14:paraId="3F9A7C7A" w14:textId="77777777" w:rsidR="00E83AFA" w:rsidRDefault="00E83AFA" w:rsidP="00A46A9E">
      <w:pPr>
        <w:contextualSpacing/>
        <w:rPr>
          <w:rFonts w:cs="Arial"/>
          <w:szCs w:val="20"/>
        </w:rPr>
      </w:pPr>
    </w:p>
    <w:p w14:paraId="169691EB" w14:textId="725790AC" w:rsidR="002E1DEC" w:rsidRDefault="002E1DEC" w:rsidP="00A46A9E">
      <w:pPr>
        <w:contextualSpacing/>
        <w:rPr>
          <w:rFonts w:cs="Arial"/>
          <w:szCs w:val="20"/>
        </w:rPr>
      </w:pPr>
      <w:r w:rsidRPr="00CF51FC">
        <w:rPr>
          <w:rFonts w:cs="Arial"/>
          <w:noProof/>
          <w:szCs w:val="20"/>
          <w:shd w:val="clear" w:color="auto" w:fill="808080" w:themeFill="background1" w:themeFillShade="80"/>
          <w:lang w:bidi="he-IL"/>
        </w:rPr>
        <w:drawing>
          <wp:inline distT="0" distB="0" distL="0" distR="0" wp14:anchorId="2456114B" wp14:editId="78FDAE08">
            <wp:extent cx="5947576" cy="4985385"/>
            <wp:effectExtent l="0" t="0" r="15240" b="571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6F2E393" w14:textId="77777777" w:rsidR="00191350" w:rsidRPr="0071344E" w:rsidRDefault="00191350" w:rsidP="00A46A9E">
      <w:pPr>
        <w:rPr>
          <w:i/>
          <w:iCs/>
          <w:sz w:val="16"/>
          <w:szCs w:val="16"/>
        </w:rPr>
      </w:pPr>
      <w:r w:rsidRPr="0071344E">
        <w:rPr>
          <w:sz w:val="16"/>
          <w:szCs w:val="16"/>
        </w:rPr>
        <w:t>*</w:t>
      </w:r>
      <w:r w:rsidRPr="0071344E">
        <w:rPr>
          <w:i/>
          <w:iCs/>
          <w:sz w:val="16"/>
          <w:szCs w:val="16"/>
        </w:rPr>
        <w:t>Don’t know/Refused not shown</w:t>
      </w:r>
    </w:p>
    <w:bookmarkEnd w:id="10"/>
    <w:p w14:paraId="3F70533F" w14:textId="22EFA32C" w:rsidR="008D21F0" w:rsidRPr="008D21F0" w:rsidRDefault="008D21F0" w:rsidP="00A46A9E">
      <w:pPr>
        <w:contextualSpacing/>
        <w:rPr>
          <w:rFonts w:cs="Arial"/>
          <w:szCs w:val="20"/>
        </w:rPr>
      </w:pPr>
      <w:r>
        <w:rPr>
          <w:rFonts w:cs="Arial"/>
          <w:szCs w:val="20"/>
        </w:rPr>
        <w:lastRenderedPageBreak/>
        <w:t>Since 2020, f</w:t>
      </w:r>
      <w:r w:rsidRPr="008D21F0">
        <w:rPr>
          <w:rFonts w:cs="Arial"/>
          <w:szCs w:val="20"/>
        </w:rPr>
        <w:t>ewer Texans rank lowering prescription drug prices as a top priority (56%</w:t>
      </w:r>
      <w:r>
        <w:rPr>
          <w:rFonts w:cs="Arial"/>
          <w:szCs w:val="20"/>
        </w:rPr>
        <w:t xml:space="preserve"> in 2021; </w:t>
      </w:r>
      <w:r w:rsidRPr="008D21F0">
        <w:rPr>
          <w:rFonts w:cs="Arial"/>
          <w:szCs w:val="20"/>
        </w:rPr>
        <w:t>63%</w:t>
      </w:r>
      <w:r>
        <w:rPr>
          <w:rFonts w:cs="Arial"/>
          <w:szCs w:val="20"/>
        </w:rPr>
        <w:t xml:space="preserve"> in 2020</w:t>
      </w:r>
      <w:r w:rsidRPr="008D21F0">
        <w:rPr>
          <w:rFonts w:cs="Arial"/>
          <w:szCs w:val="20"/>
        </w:rPr>
        <w:t xml:space="preserve">). However, more believe family planning </w:t>
      </w:r>
      <w:r>
        <w:rPr>
          <w:rFonts w:cs="Arial"/>
          <w:szCs w:val="20"/>
        </w:rPr>
        <w:t xml:space="preserve">services </w:t>
      </w:r>
      <w:r w:rsidRPr="008D21F0">
        <w:rPr>
          <w:rFonts w:cs="Arial"/>
          <w:szCs w:val="20"/>
        </w:rPr>
        <w:t>should be a top priority in comparison to 2020 (4</w:t>
      </w:r>
      <w:r>
        <w:rPr>
          <w:rFonts w:cs="Arial"/>
          <w:szCs w:val="20"/>
        </w:rPr>
        <w:t>5</w:t>
      </w:r>
      <w:r w:rsidRPr="008D21F0">
        <w:rPr>
          <w:rFonts w:cs="Arial"/>
          <w:szCs w:val="20"/>
        </w:rPr>
        <w:t>%</w:t>
      </w:r>
      <w:r>
        <w:rPr>
          <w:rFonts w:cs="Arial"/>
          <w:szCs w:val="20"/>
        </w:rPr>
        <w:t xml:space="preserve"> in 2021</w:t>
      </w:r>
      <w:r w:rsidR="00A90B6A">
        <w:rPr>
          <w:rFonts w:cs="Arial"/>
          <w:szCs w:val="20"/>
        </w:rPr>
        <w:t xml:space="preserve">; </w:t>
      </w:r>
      <w:r w:rsidRPr="008D21F0">
        <w:rPr>
          <w:rFonts w:cs="Arial"/>
          <w:szCs w:val="20"/>
        </w:rPr>
        <w:t>37%</w:t>
      </w:r>
      <w:r>
        <w:rPr>
          <w:rFonts w:cs="Arial"/>
          <w:szCs w:val="20"/>
        </w:rPr>
        <w:t xml:space="preserve"> in 2020</w:t>
      </w:r>
      <w:r w:rsidRPr="008D21F0">
        <w:rPr>
          <w:rFonts w:cs="Arial"/>
          <w:szCs w:val="20"/>
        </w:rPr>
        <w:t>). Fewer also rank reducing maternal mortality as a top a top priority (49%</w:t>
      </w:r>
      <w:r>
        <w:rPr>
          <w:rFonts w:cs="Arial"/>
          <w:szCs w:val="20"/>
        </w:rPr>
        <w:t xml:space="preserve"> in 2021</w:t>
      </w:r>
      <w:r w:rsidR="00A90B6A">
        <w:rPr>
          <w:rFonts w:cs="Arial"/>
          <w:szCs w:val="20"/>
        </w:rPr>
        <w:t xml:space="preserve">; </w:t>
      </w:r>
      <w:r w:rsidRPr="008D21F0">
        <w:rPr>
          <w:rFonts w:cs="Arial"/>
          <w:szCs w:val="20"/>
        </w:rPr>
        <w:t>58%</w:t>
      </w:r>
      <w:r>
        <w:rPr>
          <w:rFonts w:cs="Arial"/>
          <w:szCs w:val="20"/>
        </w:rPr>
        <w:t xml:space="preserve"> in 2020</w:t>
      </w:r>
      <w:r w:rsidRPr="008D21F0">
        <w:rPr>
          <w:rFonts w:cs="Arial"/>
          <w:szCs w:val="20"/>
        </w:rPr>
        <w:t>)</w:t>
      </w:r>
      <w:r>
        <w:rPr>
          <w:rFonts w:cs="Arial"/>
          <w:szCs w:val="20"/>
        </w:rPr>
        <w:t>.</w:t>
      </w:r>
    </w:p>
    <w:p w14:paraId="0B683A44" w14:textId="7CFE9184" w:rsidR="004E0CBB" w:rsidRDefault="004E0CBB" w:rsidP="00A46A9E">
      <w:pPr>
        <w:pStyle w:val="Heading2"/>
      </w:pPr>
      <w:bookmarkStart w:id="11" w:name="_Toc95988993"/>
      <w:r>
        <w:t>Opinions and Experiences with Medicaid</w:t>
      </w:r>
      <w:bookmarkEnd w:id="11"/>
    </w:p>
    <w:p w14:paraId="4D217D19" w14:textId="1B25870A" w:rsidR="004E0CBB" w:rsidRDefault="004E0CBB" w:rsidP="00A46A9E">
      <w:r>
        <w:t xml:space="preserve">With access and affordability among the top health care concerns, many Texans continue to have a favorable view of Medicaid, the government health insurance and long-term care program for certain low-income adults and children. Almost two-thirds have a very or somewhat favorable opinion of the program (64%; 27% very favorable; </w:t>
      </w:r>
      <w:r w:rsidR="00AC4130">
        <w:t>37% somewhat favorable). The 69 percent of Texans with some sort of connection to the program either by ever being covered by the program or knowing someone covered tend to have more favorable views. These groups are also more likely to say the program is working well. However, rates of Medicaid favorability have significantly declined over the past four years and fewer Texans think the program is working well (Chart 5).</w:t>
      </w:r>
    </w:p>
    <w:p w14:paraId="34E99888" w14:textId="4AEA67D2" w:rsidR="00AC4130" w:rsidRPr="004E0CBB" w:rsidRDefault="00AC4130" w:rsidP="00A46A9E">
      <w:r>
        <w:rPr>
          <w:noProof/>
        </w:rPr>
        <w:drawing>
          <wp:inline distT="0" distB="0" distL="0" distR="0" wp14:anchorId="1D9DC1ED" wp14:editId="78AADFF4">
            <wp:extent cx="5899868" cy="3742055"/>
            <wp:effectExtent l="0" t="0" r="5715" b="1079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123391F" w14:textId="6A4E87AB" w:rsidR="003D0B7A" w:rsidRDefault="00E146F5" w:rsidP="003D0B7A">
      <w:pPr>
        <w:contextualSpacing/>
        <w:rPr>
          <w:rFonts w:cs="Arial"/>
          <w:szCs w:val="20"/>
        </w:rPr>
      </w:pPr>
      <w:r>
        <w:rPr>
          <w:rFonts w:cs="Arial"/>
          <w:szCs w:val="20"/>
        </w:rPr>
        <w:t xml:space="preserve">Texas is one of only 12 states that has not expanded Medicaid coverage under the Affordable Care Act. </w:t>
      </w:r>
      <w:r w:rsidR="008F7294">
        <w:rPr>
          <w:rFonts w:cs="Arial"/>
          <w:szCs w:val="20"/>
        </w:rPr>
        <w:t>Most</w:t>
      </w:r>
      <w:r>
        <w:rPr>
          <w:rFonts w:cs="Arial"/>
          <w:szCs w:val="20"/>
        </w:rPr>
        <w:t xml:space="preserve"> Texans either mistakenly </w:t>
      </w:r>
      <w:r w:rsidR="008F7294">
        <w:rPr>
          <w:rFonts w:cs="Arial"/>
          <w:szCs w:val="20"/>
        </w:rPr>
        <w:t>believe the program has been expanded (19</w:t>
      </w:r>
      <w:r w:rsidR="00FC79F4">
        <w:rPr>
          <w:rFonts w:cs="Arial"/>
          <w:szCs w:val="20"/>
        </w:rPr>
        <w:t>%</w:t>
      </w:r>
      <w:r w:rsidR="008F7294">
        <w:rPr>
          <w:rFonts w:cs="Arial"/>
          <w:szCs w:val="20"/>
        </w:rPr>
        <w:t xml:space="preserve">) or are unsure (41%). </w:t>
      </w:r>
      <w:r w:rsidR="008F7294" w:rsidRPr="008F7294">
        <w:rPr>
          <w:rFonts w:cs="Arial"/>
          <w:szCs w:val="20"/>
        </w:rPr>
        <w:t xml:space="preserve">When told that the state has not expanded Medicaid, nearly </w:t>
      </w:r>
      <w:r w:rsidR="008F7294">
        <w:rPr>
          <w:rFonts w:cs="Arial"/>
          <w:szCs w:val="20"/>
        </w:rPr>
        <w:t>seven in ten</w:t>
      </w:r>
      <w:r w:rsidR="008F7294" w:rsidRPr="008F7294">
        <w:rPr>
          <w:rFonts w:cs="Arial"/>
          <w:szCs w:val="20"/>
        </w:rPr>
        <w:t xml:space="preserve"> support Medicaid expansion to cover more low-income adults (69%). Support for Medicaid expansion this year is consistent with 2020. However, it has significantly increased since 2019 when support was at 64</w:t>
      </w:r>
      <w:r w:rsidR="008F7294">
        <w:rPr>
          <w:rFonts w:cs="Arial"/>
          <w:szCs w:val="20"/>
        </w:rPr>
        <w:t xml:space="preserve"> percent</w:t>
      </w:r>
      <w:r w:rsidR="00054030">
        <w:rPr>
          <w:rFonts w:cs="Arial"/>
          <w:szCs w:val="20"/>
        </w:rPr>
        <w:t xml:space="preserve"> (Chart 6)</w:t>
      </w:r>
      <w:r w:rsidR="008F7294" w:rsidRPr="008F7294">
        <w:rPr>
          <w:rFonts w:cs="Arial"/>
          <w:szCs w:val="20"/>
        </w:rPr>
        <w:t xml:space="preserve">. </w:t>
      </w:r>
      <w:r w:rsidR="003D0B7A">
        <w:rPr>
          <w:rFonts w:cs="Arial"/>
          <w:szCs w:val="20"/>
        </w:rPr>
        <w:t>In fact, over the last four years as rate</w:t>
      </w:r>
      <w:r w:rsidR="000B4443">
        <w:rPr>
          <w:rFonts w:cs="Arial"/>
          <w:szCs w:val="20"/>
        </w:rPr>
        <w:t>s</w:t>
      </w:r>
      <w:r w:rsidR="003D0B7A">
        <w:rPr>
          <w:rFonts w:cs="Arial"/>
          <w:szCs w:val="20"/>
        </w:rPr>
        <w:t xml:space="preserve"> of Medicaid favorability have declined, more Texans support Medicaid Expansion</w:t>
      </w:r>
      <w:r w:rsidR="000B4443">
        <w:rPr>
          <w:rFonts w:cs="Arial"/>
          <w:szCs w:val="20"/>
        </w:rPr>
        <w:t xml:space="preserve"> (Chart 7)</w:t>
      </w:r>
      <w:r w:rsidR="003D0B7A">
        <w:rPr>
          <w:rFonts w:cs="Arial"/>
          <w:szCs w:val="20"/>
        </w:rPr>
        <w:t>.</w:t>
      </w:r>
    </w:p>
    <w:p w14:paraId="2D34BBDD" w14:textId="0F530F04" w:rsidR="00CC647F" w:rsidRDefault="00CC647F" w:rsidP="00A46A9E">
      <w:pPr>
        <w:contextualSpacing/>
        <w:rPr>
          <w:rFonts w:cs="Arial"/>
          <w:szCs w:val="20"/>
        </w:rPr>
      </w:pPr>
    </w:p>
    <w:p w14:paraId="151AC93F" w14:textId="06768A0B" w:rsidR="00191350" w:rsidRPr="008F2B23" w:rsidRDefault="008F7294" w:rsidP="00A46A9E">
      <w:pPr>
        <w:contextualSpacing/>
        <w:rPr>
          <w:rFonts w:cs="Arial"/>
          <w:szCs w:val="20"/>
        </w:rPr>
      </w:pPr>
      <w:r>
        <w:rPr>
          <w:noProof/>
        </w:rPr>
        <w:lastRenderedPageBreak/>
        <w:drawing>
          <wp:inline distT="0" distB="0" distL="0" distR="0" wp14:anchorId="0C9A8764" wp14:editId="642BEB18">
            <wp:extent cx="6080760" cy="3062378"/>
            <wp:effectExtent l="0" t="0" r="15240" b="508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37B1444" w14:textId="2926A5AE" w:rsidR="003D0B7A" w:rsidRDefault="00CC647F" w:rsidP="00A46A9E">
      <w:pPr>
        <w:contextualSpacing/>
        <w:rPr>
          <w:rFonts w:cs="Arial"/>
          <w:noProof/>
          <w:szCs w:val="20"/>
          <w:lang w:bidi="he-IL"/>
        </w:rPr>
      </w:pPr>
      <w:r>
        <w:rPr>
          <w:rFonts w:cs="Arial"/>
          <w:szCs w:val="20"/>
        </w:rPr>
        <w:t xml:space="preserve"> </w:t>
      </w:r>
    </w:p>
    <w:p w14:paraId="02900DB2" w14:textId="1595FA71" w:rsidR="00CC647F" w:rsidRDefault="003D0B7A" w:rsidP="00A46A9E">
      <w:pPr>
        <w:contextualSpacing/>
        <w:rPr>
          <w:rFonts w:cs="Arial"/>
          <w:noProof/>
          <w:szCs w:val="20"/>
          <w:lang w:bidi="he-IL"/>
        </w:rPr>
      </w:pPr>
      <w:r>
        <w:rPr>
          <w:noProof/>
        </w:rPr>
        <w:drawing>
          <wp:inline distT="0" distB="0" distL="0" distR="0" wp14:anchorId="5C0DF09E" wp14:editId="4CE4BFE0">
            <wp:extent cx="6124575" cy="3398807"/>
            <wp:effectExtent l="0" t="0" r="9525" b="1143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CC647F">
        <w:rPr>
          <w:rFonts w:cs="Arial"/>
          <w:noProof/>
          <w:szCs w:val="20"/>
          <w:lang w:bidi="he-IL"/>
        </w:rPr>
        <w:t xml:space="preserve"> </w:t>
      </w:r>
    </w:p>
    <w:p w14:paraId="35B56DDC" w14:textId="2D254BAF" w:rsidR="00F22801" w:rsidRDefault="00F22801" w:rsidP="00A46A9E">
      <w:pPr>
        <w:contextualSpacing/>
        <w:rPr>
          <w:rFonts w:cs="Arial"/>
          <w:noProof/>
          <w:szCs w:val="20"/>
          <w:lang w:bidi="he-IL"/>
        </w:rPr>
      </w:pPr>
    </w:p>
    <w:p w14:paraId="567F8E95" w14:textId="5DF544C2" w:rsidR="00F22801" w:rsidRDefault="00F22801" w:rsidP="00A46A9E">
      <w:pPr>
        <w:contextualSpacing/>
        <w:rPr>
          <w:rFonts w:cs="Arial"/>
          <w:noProof/>
          <w:szCs w:val="20"/>
          <w:lang w:bidi="he-IL"/>
        </w:rPr>
      </w:pPr>
      <w:r>
        <w:rPr>
          <w:rFonts w:cs="Arial"/>
          <w:noProof/>
          <w:szCs w:val="20"/>
          <w:lang w:bidi="he-IL"/>
        </w:rPr>
        <w:t>While rates of Medicaid favorability tend to be similar across age groups</w:t>
      </w:r>
      <w:r w:rsidR="000B4443">
        <w:rPr>
          <w:rFonts w:cs="Arial"/>
          <w:noProof/>
          <w:szCs w:val="20"/>
          <w:lang w:bidi="he-IL"/>
        </w:rPr>
        <w:t>,</w:t>
      </w:r>
      <w:r>
        <w:rPr>
          <w:rFonts w:cs="Arial"/>
          <w:noProof/>
          <w:szCs w:val="20"/>
          <w:lang w:bidi="he-IL"/>
        </w:rPr>
        <w:t xml:space="preserve"> race and ethnic</w:t>
      </w:r>
      <w:r w:rsidR="000B4443">
        <w:rPr>
          <w:rFonts w:cs="Arial"/>
          <w:noProof/>
          <w:szCs w:val="20"/>
          <w:lang w:bidi="he-IL"/>
        </w:rPr>
        <w:t>ity,</w:t>
      </w:r>
      <w:r>
        <w:rPr>
          <w:rFonts w:cs="Arial"/>
          <w:noProof/>
          <w:szCs w:val="20"/>
          <w:lang w:bidi="he-IL"/>
        </w:rPr>
        <w:t xml:space="preserve"> a</w:t>
      </w:r>
      <w:r w:rsidR="000B4443">
        <w:rPr>
          <w:rFonts w:cs="Arial"/>
          <w:noProof/>
          <w:szCs w:val="20"/>
          <w:lang w:bidi="he-IL"/>
        </w:rPr>
        <w:t>s well as</w:t>
      </w:r>
      <w:r>
        <w:rPr>
          <w:rFonts w:cs="Arial"/>
          <w:noProof/>
          <w:szCs w:val="20"/>
          <w:lang w:bidi="he-IL"/>
        </w:rPr>
        <w:t xml:space="preserve"> income levels, there </w:t>
      </w:r>
      <w:r w:rsidR="000B4443">
        <w:rPr>
          <w:rFonts w:cs="Arial"/>
          <w:noProof/>
          <w:szCs w:val="20"/>
          <w:lang w:bidi="he-IL"/>
        </w:rPr>
        <w:t xml:space="preserve">are </w:t>
      </w:r>
      <w:r>
        <w:rPr>
          <w:rFonts w:cs="Arial"/>
          <w:noProof/>
          <w:szCs w:val="20"/>
          <w:lang w:bidi="he-IL"/>
        </w:rPr>
        <w:t>significant differences in favorability by political party identification. Democrats are more likely to ha</w:t>
      </w:r>
      <w:r w:rsidR="000B4443">
        <w:rPr>
          <w:rFonts w:cs="Arial"/>
          <w:noProof/>
          <w:szCs w:val="20"/>
          <w:lang w:bidi="he-IL"/>
        </w:rPr>
        <w:t>v</w:t>
      </w:r>
      <w:r>
        <w:rPr>
          <w:rFonts w:cs="Arial"/>
          <w:noProof/>
          <w:szCs w:val="20"/>
          <w:lang w:bidi="he-IL"/>
        </w:rPr>
        <w:t xml:space="preserve">e favorable opinions (76%) than Republicans (53%) and Independents (62%). In fact, favorability among Republicans and Independents has sharply declinced over time. In 2019, 65 percent of Republicans had a very or somewhat favorable view of Medicaid. This is more than 10 percent higher than </w:t>
      </w:r>
      <w:r w:rsidR="000B4443">
        <w:rPr>
          <w:rFonts w:cs="Arial"/>
          <w:noProof/>
          <w:szCs w:val="20"/>
          <w:lang w:bidi="he-IL"/>
        </w:rPr>
        <w:t>the portion</w:t>
      </w:r>
      <w:r>
        <w:rPr>
          <w:rFonts w:cs="Arial"/>
          <w:noProof/>
          <w:szCs w:val="20"/>
          <w:lang w:bidi="he-IL"/>
        </w:rPr>
        <w:t xml:space="preserve"> in 2021. Similarly, 72 percent of Independents had favorable opinions of Medicaid in 2019 </w:t>
      </w:r>
      <w:r>
        <w:rPr>
          <w:rFonts w:cs="Arial"/>
          <w:noProof/>
          <w:szCs w:val="20"/>
          <w:lang w:bidi="he-IL"/>
        </w:rPr>
        <w:lastRenderedPageBreak/>
        <w:t>compared to 62 percent in 2021.</w:t>
      </w:r>
      <w:r w:rsidR="008E260D">
        <w:rPr>
          <w:rFonts w:cs="Arial"/>
          <w:noProof/>
          <w:szCs w:val="20"/>
          <w:lang w:bidi="he-IL"/>
        </w:rPr>
        <w:t xml:space="preserve"> However, there is not a significant </w:t>
      </w:r>
      <w:r w:rsidR="000B4443">
        <w:rPr>
          <w:rFonts w:cs="Arial"/>
          <w:noProof/>
          <w:szCs w:val="20"/>
          <w:lang w:bidi="he-IL"/>
        </w:rPr>
        <w:t>change in levels of</w:t>
      </w:r>
      <w:r w:rsidR="008E260D">
        <w:rPr>
          <w:rFonts w:cs="Arial"/>
          <w:noProof/>
          <w:szCs w:val="20"/>
          <w:lang w:bidi="he-IL"/>
        </w:rPr>
        <w:t xml:space="preserve"> support for Medicaid expansion among Republicans and Independents since 2019. </w:t>
      </w:r>
      <w:r w:rsidR="000B4443">
        <w:rPr>
          <w:rFonts w:cs="Arial"/>
          <w:noProof/>
          <w:szCs w:val="20"/>
          <w:lang w:bidi="he-IL"/>
        </w:rPr>
        <w:t>Additionally, f</w:t>
      </w:r>
      <w:r>
        <w:rPr>
          <w:rFonts w:cs="Arial"/>
          <w:noProof/>
          <w:szCs w:val="20"/>
          <w:lang w:bidi="he-IL"/>
        </w:rPr>
        <w:t xml:space="preserve">avorability </w:t>
      </w:r>
      <w:r w:rsidR="008E260D">
        <w:rPr>
          <w:rFonts w:cs="Arial"/>
          <w:noProof/>
          <w:szCs w:val="20"/>
          <w:lang w:bidi="he-IL"/>
        </w:rPr>
        <w:t xml:space="preserve">and support for exapnsion </w:t>
      </w:r>
      <w:r>
        <w:rPr>
          <w:rFonts w:cs="Arial"/>
          <w:noProof/>
          <w:szCs w:val="20"/>
          <w:lang w:bidi="he-IL"/>
        </w:rPr>
        <w:t>among Democrats has st</w:t>
      </w:r>
      <w:r w:rsidR="008E260D">
        <w:rPr>
          <w:rFonts w:cs="Arial"/>
          <w:noProof/>
          <w:szCs w:val="20"/>
          <w:lang w:bidi="he-IL"/>
        </w:rPr>
        <w:t>ay</w:t>
      </w:r>
      <w:r>
        <w:rPr>
          <w:rFonts w:cs="Arial"/>
          <w:noProof/>
          <w:szCs w:val="20"/>
          <w:lang w:bidi="he-IL"/>
        </w:rPr>
        <w:t>ed relatively consistent</w:t>
      </w:r>
      <w:r w:rsidR="00530502">
        <w:rPr>
          <w:rFonts w:cs="Arial"/>
          <w:noProof/>
          <w:szCs w:val="20"/>
          <w:lang w:bidi="he-IL"/>
        </w:rPr>
        <w:t xml:space="preserve"> (Chart 8)</w:t>
      </w:r>
      <w:r>
        <w:rPr>
          <w:rFonts w:cs="Arial"/>
          <w:noProof/>
          <w:szCs w:val="20"/>
          <w:lang w:bidi="he-IL"/>
        </w:rPr>
        <w:t>.</w:t>
      </w:r>
      <w:r w:rsidR="008E260D">
        <w:rPr>
          <w:rFonts w:cs="Arial"/>
          <w:noProof/>
          <w:szCs w:val="20"/>
          <w:lang w:bidi="he-IL"/>
        </w:rPr>
        <w:t xml:space="preserve"> </w:t>
      </w:r>
    </w:p>
    <w:p w14:paraId="5E4AD77B" w14:textId="21248B84" w:rsidR="00F22801" w:rsidRDefault="00F22801" w:rsidP="00A46A9E">
      <w:pPr>
        <w:contextualSpacing/>
        <w:rPr>
          <w:rFonts w:cs="Arial"/>
          <w:noProof/>
          <w:szCs w:val="20"/>
          <w:lang w:bidi="he-IL"/>
        </w:rPr>
      </w:pPr>
    </w:p>
    <w:p w14:paraId="120906A5" w14:textId="76759B4A" w:rsidR="00F22801" w:rsidRDefault="00F22801" w:rsidP="00A46A9E">
      <w:pPr>
        <w:contextualSpacing/>
        <w:rPr>
          <w:rFonts w:cs="Arial"/>
          <w:noProof/>
          <w:szCs w:val="20"/>
          <w:lang w:bidi="he-IL"/>
        </w:rPr>
      </w:pPr>
      <w:r>
        <w:rPr>
          <w:noProof/>
        </w:rPr>
        <w:drawing>
          <wp:inline distT="0" distB="0" distL="0" distR="0" wp14:anchorId="18D3633E" wp14:editId="1F68718D">
            <wp:extent cx="5943600" cy="3657266"/>
            <wp:effectExtent l="0" t="0" r="0" b="63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FF1CBAC" w14:textId="72A10677" w:rsidR="00A243C8" w:rsidRDefault="00A243C8" w:rsidP="00A46A9E">
      <w:pPr>
        <w:rPr>
          <w:szCs w:val="20"/>
        </w:rPr>
      </w:pPr>
      <w:r>
        <w:rPr>
          <w:szCs w:val="20"/>
        </w:rPr>
        <w:br w:type="page"/>
      </w:r>
    </w:p>
    <w:p w14:paraId="2681F57F" w14:textId="5D289F98" w:rsidR="00A243C8" w:rsidRDefault="00A243C8" w:rsidP="00A46A9E">
      <w:pPr>
        <w:pStyle w:val="Heading1"/>
        <w:jc w:val="both"/>
      </w:pPr>
      <w:bookmarkStart w:id="12" w:name="_Toc95988994"/>
      <w:r>
        <w:lastRenderedPageBreak/>
        <w:t>EXPERIENCES WITH HEALTH CARE AFFORDABILITY AND ACCESS</w:t>
      </w:r>
      <w:bookmarkEnd w:id="12"/>
    </w:p>
    <w:p w14:paraId="7CACC1BB" w14:textId="66AD058D" w:rsidR="007C6106" w:rsidRDefault="007C6106" w:rsidP="00FB266F">
      <w:pPr>
        <w:pStyle w:val="Heading2"/>
      </w:pPr>
      <w:bookmarkStart w:id="13" w:name="_Toc95988995"/>
      <w:r>
        <w:t>Health Insurance Coverage</w:t>
      </w:r>
      <w:bookmarkEnd w:id="13"/>
    </w:p>
    <w:p w14:paraId="16BAF008" w14:textId="2A4894E8" w:rsidR="007C6106" w:rsidRPr="007C6106" w:rsidRDefault="007C6106" w:rsidP="007C6106">
      <w:r>
        <w:t xml:space="preserve">Among Texans ages 18 to 64, 29 percent report being without health insurance and almost </w:t>
      </w:r>
      <w:r w:rsidRPr="007C6106">
        <w:t xml:space="preserve">three-quarters of those uninsured have been without health insurance for more than a year (73%). This is significantly lower than the </w:t>
      </w:r>
      <w:r w:rsidR="000A6F03">
        <w:t>35</w:t>
      </w:r>
      <w:r w:rsidR="004B2F97">
        <w:t xml:space="preserve"> percent</w:t>
      </w:r>
      <w:r w:rsidRPr="007C6106">
        <w:t xml:space="preserve"> who said they did not have health insurance in 2020 but </w:t>
      </w:r>
      <w:proofErr w:type="gramStart"/>
      <w:r w:rsidRPr="007C6106">
        <w:t>similar to</w:t>
      </w:r>
      <w:proofErr w:type="gramEnd"/>
      <w:r w:rsidRPr="007C6106">
        <w:t xml:space="preserve"> levels in 2019 (31%) and 2018 (29%). </w:t>
      </w:r>
      <w:r>
        <w:t xml:space="preserve">In contrast </w:t>
      </w:r>
      <w:r w:rsidR="00CB3EF6">
        <w:t>14 percent of adults nationwide are currently uninsured.</w:t>
      </w:r>
      <w:r w:rsidR="00CB3EF6">
        <w:rPr>
          <w:rStyle w:val="FootnoteReference"/>
        </w:rPr>
        <w:footnoteReference w:id="2"/>
      </w:r>
      <w:r w:rsidR="000A5C04">
        <w:t xml:space="preserve"> </w:t>
      </w:r>
    </w:p>
    <w:p w14:paraId="4C6099E8" w14:textId="3427F9F3" w:rsidR="00FB266F" w:rsidRDefault="00FB266F" w:rsidP="00FB266F">
      <w:pPr>
        <w:pStyle w:val="Heading2"/>
      </w:pPr>
      <w:bookmarkStart w:id="14" w:name="_Toc95988996"/>
      <w:r>
        <w:t>Affording Health Care and Medical Bills</w:t>
      </w:r>
      <w:bookmarkEnd w:id="14"/>
    </w:p>
    <w:p w14:paraId="14393B34" w14:textId="2E0D7C66" w:rsidR="00A243C8" w:rsidRDefault="00A243C8" w:rsidP="00A46A9E">
      <w:pPr>
        <w:contextualSpacing/>
        <w:rPr>
          <w:szCs w:val="20"/>
        </w:rPr>
      </w:pPr>
      <w:r>
        <w:rPr>
          <w:szCs w:val="20"/>
        </w:rPr>
        <w:t>Nearly half of Texans say it is somewhat or very difficult for them to afford health care (48%). More say they have difficulty affording health care than who say food (29%), their rent or mortgage (38%), or monthly utilities are difficult to afford (</w:t>
      </w:r>
      <w:r w:rsidR="00A46A9E">
        <w:rPr>
          <w:szCs w:val="20"/>
        </w:rPr>
        <w:t>38%). The only cost outranking health care as at least somewhat difficult to afford is gasoline and transportation costs</w:t>
      </w:r>
      <w:r w:rsidR="004C0444">
        <w:rPr>
          <w:szCs w:val="20"/>
        </w:rPr>
        <w:t>,</w:t>
      </w:r>
      <w:r w:rsidR="00A46A9E">
        <w:rPr>
          <w:szCs w:val="20"/>
        </w:rPr>
        <w:t xml:space="preserve"> with 56 percent of Texans reporting that it is at least somewhat difficult to afford this expense.</w:t>
      </w:r>
    </w:p>
    <w:p w14:paraId="24356522" w14:textId="2F758F09" w:rsidR="00A46A9E" w:rsidRDefault="00A46A9E" w:rsidP="00A46A9E">
      <w:pPr>
        <w:contextualSpacing/>
        <w:rPr>
          <w:szCs w:val="20"/>
        </w:rPr>
      </w:pPr>
    </w:p>
    <w:p w14:paraId="2A3C4A93" w14:textId="7A1A7A3B" w:rsidR="00A46A9E" w:rsidRDefault="00A46A9E" w:rsidP="00A46A9E">
      <w:pPr>
        <w:spacing w:after="0" w:line="240" w:lineRule="auto"/>
        <w:rPr>
          <w:rFonts w:eastAsia="Times New Roman"/>
        </w:rPr>
      </w:pPr>
      <w:r w:rsidRPr="00A46A9E">
        <w:rPr>
          <w:szCs w:val="20"/>
        </w:rPr>
        <w:t>Moreover, one in three have had problems paying medical bills in the past year</w:t>
      </w:r>
      <w:r>
        <w:rPr>
          <w:szCs w:val="20"/>
        </w:rPr>
        <w:t>. More</w:t>
      </w:r>
      <w:r w:rsidRPr="00A46A9E">
        <w:rPr>
          <w:szCs w:val="20"/>
        </w:rPr>
        <w:t xml:space="preserve"> than half have skipped or postponed some type of medical care due to the cost</w:t>
      </w:r>
      <w:r>
        <w:rPr>
          <w:szCs w:val="20"/>
        </w:rPr>
        <w:t xml:space="preserve"> (59%)</w:t>
      </w:r>
      <w:r w:rsidRPr="00A46A9E">
        <w:rPr>
          <w:szCs w:val="20"/>
        </w:rPr>
        <w:t xml:space="preserve">. </w:t>
      </w:r>
      <w:r>
        <w:rPr>
          <w:rFonts w:eastAsia="Times New Roman"/>
        </w:rPr>
        <w:t xml:space="preserve">Skipping or postponing care due to cost appears to be more prevalent in 2021 compared to 2020. In 2020, 53 percent reported skipping care due to cost compared to the 59 percent who report the same in 2021. </w:t>
      </w:r>
      <w:r w:rsidRPr="00A46A9E">
        <w:rPr>
          <w:rFonts w:eastAsia="Times New Roman"/>
        </w:rPr>
        <w:t xml:space="preserve">However, the rates for 2021 are </w:t>
      </w:r>
      <w:proofErr w:type="gramStart"/>
      <w:r w:rsidRPr="00A46A9E">
        <w:rPr>
          <w:rFonts w:eastAsia="Times New Roman"/>
        </w:rPr>
        <w:t>similar to</w:t>
      </w:r>
      <w:proofErr w:type="gramEnd"/>
      <w:r w:rsidRPr="00A46A9E">
        <w:rPr>
          <w:rFonts w:eastAsia="Times New Roman"/>
        </w:rPr>
        <w:t xml:space="preserve"> 2019 (60%) and 2018 (61%). This difference between 2021 and 2020 estimates may be due to fewer Texans seeking any type of medical care during the height of the COVID-19 pandemic in 2020. In 2021, health care procedures and appointments that may have been postponed </w:t>
      </w:r>
      <w:r w:rsidR="00FB266F">
        <w:rPr>
          <w:rFonts w:eastAsia="Times New Roman"/>
        </w:rPr>
        <w:t>were</w:t>
      </w:r>
      <w:r w:rsidRPr="00A46A9E">
        <w:rPr>
          <w:rFonts w:eastAsia="Times New Roman"/>
        </w:rPr>
        <w:t xml:space="preserve"> able to occur again, but Texans are still facing difficulties with affording care. </w:t>
      </w:r>
    </w:p>
    <w:p w14:paraId="64D018C6" w14:textId="1E536123" w:rsidR="00FB266F" w:rsidRDefault="00FB266F" w:rsidP="00A46A9E">
      <w:pPr>
        <w:spacing w:after="0" w:line="240" w:lineRule="auto"/>
        <w:rPr>
          <w:rFonts w:eastAsia="Times New Roman"/>
        </w:rPr>
      </w:pPr>
    </w:p>
    <w:p w14:paraId="7FC24331" w14:textId="6F7FDD61" w:rsidR="00FB266F" w:rsidRDefault="00FB266F" w:rsidP="00A46A9E">
      <w:pPr>
        <w:spacing w:after="0" w:line="240" w:lineRule="auto"/>
        <w:rPr>
          <w:rFonts w:eastAsia="Times New Roman"/>
        </w:rPr>
      </w:pPr>
      <w:r>
        <w:rPr>
          <w:rFonts w:eastAsia="Times New Roman"/>
        </w:rPr>
        <w:t xml:space="preserve">These issues with affordability are more common among those without health insurance. </w:t>
      </w:r>
      <w:proofErr w:type="gramStart"/>
      <w:r>
        <w:rPr>
          <w:rFonts w:eastAsia="Times New Roman"/>
        </w:rPr>
        <w:t>The vast majority of</w:t>
      </w:r>
      <w:proofErr w:type="gramEnd"/>
      <w:r>
        <w:rPr>
          <w:rFonts w:eastAsia="Times New Roman"/>
        </w:rPr>
        <w:t xml:space="preserve"> uninsured Texans say it is at least somewhat difficult to afford healthcare (83%) compared to just 38 percent of insured Texans. Uninsured Texans are also more likely to report difficulty paying medical bills (54%) compared to their insured counterparts (32%). About three-quarters of uninsured Texans skipped or postponed medical care in the past 12 months (78%) compared to </w:t>
      </w:r>
      <w:r w:rsidR="006B6CCA">
        <w:rPr>
          <w:rFonts w:eastAsia="Times New Roman"/>
        </w:rPr>
        <w:t xml:space="preserve">56 percent of insured Texans. </w:t>
      </w:r>
    </w:p>
    <w:p w14:paraId="175CCE66" w14:textId="5E66D1C8" w:rsidR="006B6CCA" w:rsidRDefault="006B6CCA" w:rsidP="00A46A9E">
      <w:pPr>
        <w:spacing w:after="0" w:line="240" w:lineRule="auto"/>
        <w:rPr>
          <w:rFonts w:eastAsia="Times New Roman"/>
        </w:rPr>
      </w:pPr>
    </w:p>
    <w:p w14:paraId="298ABE5F" w14:textId="6DFC9363" w:rsidR="006B6CCA" w:rsidRDefault="006B6CCA" w:rsidP="00A46A9E">
      <w:pPr>
        <w:spacing w:after="0" w:line="240" w:lineRule="auto"/>
        <w:rPr>
          <w:rFonts w:eastAsia="Times New Roman"/>
        </w:rPr>
      </w:pPr>
      <w:r>
        <w:rPr>
          <w:rFonts w:eastAsia="Times New Roman"/>
        </w:rPr>
        <w:t xml:space="preserve">Younger Texans are also more likely to have difficulty affording health care. Fifty-one percent of Texas adults under age 65 report that it is somewhat or very difficult to afford health care compared to 32 percent of adults </w:t>
      </w:r>
      <w:r w:rsidR="00820797">
        <w:rPr>
          <w:rFonts w:eastAsia="Times New Roman"/>
        </w:rPr>
        <w:t>aged</w:t>
      </w:r>
      <w:r>
        <w:rPr>
          <w:rFonts w:eastAsia="Times New Roman"/>
        </w:rPr>
        <w:t xml:space="preserve"> 65 or older. Additionally, 39 percent of adults under 65 have had problems paying medical bills compared to only 20 percent among those age 65 or older. Finally, 63 percent of adults under 65 have skipped or postponed care due to the cost in comparison to the </w:t>
      </w:r>
      <w:r w:rsidR="00820797">
        <w:rPr>
          <w:rFonts w:eastAsia="Times New Roman"/>
        </w:rPr>
        <w:t xml:space="preserve">42 percent of adults 65 or older who have done the same. </w:t>
      </w:r>
    </w:p>
    <w:p w14:paraId="6382D05E" w14:textId="2C808B61" w:rsidR="00820797" w:rsidRDefault="00820797" w:rsidP="00A46A9E">
      <w:pPr>
        <w:spacing w:after="0" w:line="240" w:lineRule="auto"/>
        <w:rPr>
          <w:rFonts w:eastAsia="Times New Roman"/>
        </w:rPr>
      </w:pPr>
    </w:p>
    <w:p w14:paraId="5A6FCAEC" w14:textId="15F9B204" w:rsidR="00820797" w:rsidRDefault="00820797" w:rsidP="00A46A9E">
      <w:pPr>
        <w:spacing w:after="0" w:line="240" w:lineRule="auto"/>
        <w:rPr>
          <w:rFonts w:eastAsia="Times New Roman"/>
        </w:rPr>
      </w:pPr>
      <w:r>
        <w:rPr>
          <w:rFonts w:eastAsia="Times New Roman"/>
        </w:rPr>
        <w:t>Hispanic residents also have more trouble affording health care in Texas. Hispanic residents are more likely to report that it is difficult to afford health care (58%) than White (41%) and Black (45%) residents. Hispanic residents are also more likely to say they have had problems paying medical bills (41%) than White (32%) residents</w:t>
      </w:r>
      <w:r w:rsidR="007C6106">
        <w:rPr>
          <w:rFonts w:eastAsia="Times New Roman"/>
        </w:rPr>
        <w:t xml:space="preserve"> (Table 1)</w:t>
      </w:r>
      <w:r>
        <w:rPr>
          <w:rFonts w:eastAsia="Times New Roman"/>
        </w:rPr>
        <w:t>.</w:t>
      </w:r>
    </w:p>
    <w:p w14:paraId="25EF0819" w14:textId="451536C7" w:rsidR="00820797" w:rsidRPr="00F4455B" w:rsidRDefault="00820797" w:rsidP="00820797">
      <w:pPr>
        <w:pStyle w:val="Heading3"/>
      </w:pPr>
      <w:bookmarkStart w:id="15" w:name="_Toc95988997"/>
      <w:r w:rsidRPr="00F4455B">
        <w:lastRenderedPageBreak/>
        <w:t xml:space="preserve">Table </w:t>
      </w:r>
      <w:r>
        <w:t>1</w:t>
      </w:r>
      <w:r w:rsidRPr="00F4455B">
        <w:t xml:space="preserve">: </w:t>
      </w:r>
      <w:r>
        <w:t>Problems Affording Medical Care</w:t>
      </w:r>
      <w:bookmarkEnd w:id="15"/>
    </w:p>
    <w:tbl>
      <w:tblPr>
        <w:tblW w:w="9360" w:type="dxa"/>
        <w:tblBorders>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3330"/>
        <w:gridCol w:w="810"/>
        <w:gridCol w:w="720"/>
        <w:gridCol w:w="990"/>
        <w:gridCol w:w="720"/>
        <w:gridCol w:w="630"/>
        <w:gridCol w:w="1080"/>
        <w:gridCol w:w="1080"/>
      </w:tblGrid>
      <w:tr w:rsidR="0039286B" w:rsidRPr="00F4455B" w14:paraId="6D48D0FB" w14:textId="77777777" w:rsidTr="00B026AA">
        <w:trPr>
          <w:trHeight w:val="603"/>
        </w:trPr>
        <w:tc>
          <w:tcPr>
            <w:tcW w:w="3330" w:type="dxa"/>
            <w:vMerge w:val="restart"/>
            <w:shd w:val="clear" w:color="auto" w:fill="20A5E8" w:themeFill="accent1"/>
            <w:noWrap/>
            <w:vAlign w:val="center"/>
            <w:hideMark/>
          </w:tcPr>
          <w:p w14:paraId="5E165AEE" w14:textId="77777777" w:rsidR="002A36FF" w:rsidRPr="00B30ADA" w:rsidRDefault="002A36FF" w:rsidP="00402B3F">
            <w:pPr>
              <w:spacing w:after="0" w:line="240" w:lineRule="auto"/>
              <w:rPr>
                <w:rFonts w:ascii="Segoe UI Semibold" w:hAnsi="Segoe UI Semibold" w:cs="Segoe UI Semibold"/>
                <w:color w:val="FFFFFF"/>
                <w:sz w:val="16"/>
                <w:szCs w:val="16"/>
              </w:rPr>
            </w:pPr>
          </w:p>
        </w:tc>
        <w:tc>
          <w:tcPr>
            <w:tcW w:w="2520" w:type="dxa"/>
            <w:gridSpan w:val="3"/>
            <w:shd w:val="clear" w:color="auto" w:fill="20A5E8" w:themeFill="accent1"/>
            <w:vAlign w:val="center"/>
          </w:tcPr>
          <w:p w14:paraId="1AAB50FA" w14:textId="77777777" w:rsidR="002A36FF" w:rsidRPr="00B30ADA" w:rsidRDefault="002A36FF" w:rsidP="002A36FF">
            <w:pPr>
              <w:spacing w:after="0" w:line="240" w:lineRule="auto"/>
              <w:jc w:val="center"/>
              <w:rPr>
                <w:rFonts w:ascii="Segoe UI Semibold" w:hAnsi="Segoe UI Semibold" w:cs="Segoe UI Semibold"/>
                <w:color w:val="FFFFFF"/>
                <w:szCs w:val="20"/>
              </w:rPr>
            </w:pPr>
            <w:r w:rsidRPr="00B30ADA">
              <w:rPr>
                <w:rFonts w:ascii="Segoe UI Semibold" w:hAnsi="Segoe UI Semibold" w:cs="Segoe UI Semibold"/>
                <w:color w:val="FFFFFF"/>
                <w:szCs w:val="20"/>
              </w:rPr>
              <w:t>RACE/ETHNICITY</w:t>
            </w:r>
          </w:p>
        </w:tc>
        <w:tc>
          <w:tcPr>
            <w:tcW w:w="1350" w:type="dxa"/>
            <w:gridSpan w:val="2"/>
            <w:shd w:val="clear" w:color="auto" w:fill="20A5E8" w:themeFill="accent1"/>
            <w:vAlign w:val="center"/>
          </w:tcPr>
          <w:p w14:paraId="394E4B9B" w14:textId="34AFF45E" w:rsidR="002A36FF" w:rsidRPr="00B30ADA" w:rsidRDefault="002A36FF" w:rsidP="002A36FF">
            <w:pPr>
              <w:spacing w:after="0" w:line="240" w:lineRule="auto"/>
              <w:jc w:val="center"/>
              <w:rPr>
                <w:rFonts w:ascii="Segoe UI Semibold" w:hAnsi="Segoe UI Semibold" w:cs="Segoe UI Semibold"/>
                <w:color w:val="FFFFFF"/>
                <w:szCs w:val="20"/>
              </w:rPr>
            </w:pPr>
            <w:r>
              <w:rPr>
                <w:rFonts w:ascii="Segoe UI Semibold" w:hAnsi="Segoe UI Semibold" w:cs="Segoe UI Semibold"/>
                <w:color w:val="FFFFFF"/>
                <w:szCs w:val="20"/>
              </w:rPr>
              <w:t>AGE</w:t>
            </w:r>
          </w:p>
        </w:tc>
        <w:tc>
          <w:tcPr>
            <w:tcW w:w="2160" w:type="dxa"/>
            <w:gridSpan w:val="2"/>
            <w:shd w:val="clear" w:color="auto" w:fill="20A5E8" w:themeFill="accent1"/>
            <w:vAlign w:val="center"/>
          </w:tcPr>
          <w:p w14:paraId="1187FB4B" w14:textId="77777777" w:rsidR="002A36FF" w:rsidRPr="00B30ADA" w:rsidRDefault="002A36FF" w:rsidP="00402B3F">
            <w:pPr>
              <w:spacing w:after="0" w:line="240" w:lineRule="auto"/>
              <w:rPr>
                <w:rFonts w:ascii="Segoe UI Semibold" w:hAnsi="Segoe UI Semibold" w:cs="Segoe UI Semibold"/>
                <w:color w:val="FFFFFF"/>
                <w:szCs w:val="20"/>
              </w:rPr>
            </w:pPr>
            <w:r w:rsidRPr="00B30ADA">
              <w:rPr>
                <w:rFonts w:ascii="Segoe UI Semibold" w:hAnsi="Segoe UI Semibold" w:cs="Segoe UI Semibold"/>
                <w:color w:val="FFFFFF"/>
                <w:szCs w:val="20"/>
              </w:rPr>
              <w:t xml:space="preserve">INSURANCE STATUS </w:t>
            </w:r>
          </w:p>
          <w:p w14:paraId="28C01DED" w14:textId="77777777" w:rsidR="002A36FF" w:rsidRPr="00B30ADA" w:rsidRDefault="002A36FF" w:rsidP="002A36FF">
            <w:pPr>
              <w:spacing w:after="0" w:line="240" w:lineRule="auto"/>
              <w:jc w:val="center"/>
              <w:rPr>
                <w:rFonts w:ascii="Segoe UI Semibold" w:hAnsi="Segoe UI Semibold" w:cs="Segoe UI Semibold"/>
                <w:color w:val="FFFFFF"/>
                <w:szCs w:val="20"/>
              </w:rPr>
            </w:pPr>
            <w:r w:rsidRPr="00B30ADA">
              <w:rPr>
                <w:rFonts w:ascii="Segoe UI Semibold" w:hAnsi="Segoe UI Semibold" w:cs="Segoe UI Semibold"/>
                <w:color w:val="FFFFFF"/>
                <w:szCs w:val="20"/>
              </w:rPr>
              <w:t>(NON-ELDERLY)</w:t>
            </w:r>
          </w:p>
        </w:tc>
      </w:tr>
      <w:tr w:rsidR="0039286B" w:rsidRPr="00F4455B" w14:paraId="32DD7E8E" w14:textId="77777777" w:rsidTr="00B026AA">
        <w:trPr>
          <w:trHeight w:val="445"/>
        </w:trPr>
        <w:tc>
          <w:tcPr>
            <w:tcW w:w="3330" w:type="dxa"/>
            <w:vMerge/>
            <w:shd w:val="clear" w:color="auto" w:fill="20A5E8" w:themeFill="accent1"/>
            <w:noWrap/>
            <w:vAlign w:val="center"/>
          </w:tcPr>
          <w:p w14:paraId="1D861CC1" w14:textId="77777777" w:rsidR="002A36FF" w:rsidRPr="00B30ADA" w:rsidRDefault="002A36FF" w:rsidP="00402B3F">
            <w:pPr>
              <w:spacing w:after="0" w:line="240" w:lineRule="auto"/>
              <w:rPr>
                <w:rFonts w:ascii="Segoe UI Semibold" w:hAnsi="Segoe UI Semibold" w:cs="Segoe UI Semibold"/>
                <w:color w:val="FFFFFF"/>
                <w:sz w:val="16"/>
                <w:szCs w:val="16"/>
              </w:rPr>
            </w:pPr>
          </w:p>
        </w:tc>
        <w:tc>
          <w:tcPr>
            <w:tcW w:w="810" w:type="dxa"/>
            <w:shd w:val="clear" w:color="auto" w:fill="20A5E8" w:themeFill="accent1"/>
            <w:vAlign w:val="center"/>
          </w:tcPr>
          <w:p w14:paraId="3D09DD6C" w14:textId="77777777" w:rsidR="002A36FF" w:rsidRPr="00B30ADA" w:rsidRDefault="002A36FF" w:rsidP="00402B3F">
            <w:pPr>
              <w:spacing w:after="0" w:line="240" w:lineRule="auto"/>
              <w:rPr>
                <w:rFonts w:ascii="Segoe UI Semibold" w:hAnsi="Segoe UI Semibold" w:cs="Segoe UI Semibold"/>
                <w:color w:val="FFFFFF"/>
                <w:sz w:val="18"/>
                <w:szCs w:val="18"/>
              </w:rPr>
            </w:pPr>
            <w:r w:rsidRPr="00B30ADA">
              <w:rPr>
                <w:rFonts w:ascii="Segoe UI Semibold" w:hAnsi="Segoe UI Semibold" w:cs="Segoe UI Semibold"/>
                <w:color w:val="FFFFFF"/>
                <w:sz w:val="18"/>
                <w:szCs w:val="18"/>
              </w:rPr>
              <w:t>White</w:t>
            </w:r>
          </w:p>
        </w:tc>
        <w:tc>
          <w:tcPr>
            <w:tcW w:w="720" w:type="dxa"/>
            <w:shd w:val="clear" w:color="auto" w:fill="20A5E8" w:themeFill="accent1"/>
            <w:vAlign w:val="center"/>
          </w:tcPr>
          <w:p w14:paraId="3E8052C0" w14:textId="77777777" w:rsidR="002A36FF" w:rsidRPr="00B30ADA" w:rsidRDefault="002A36FF" w:rsidP="00402B3F">
            <w:pPr>
              <w:spacing w:after="0" w:line="240" w:lineRule="auto"/>
              <w:rPr>
                <w:rFonts w:ascii="Segoe UI Semibold" w:hAnsi="Segoe UI Semibold" w:cs="Segoe UI Semibold"/>
                <w:color w:val="FFFFFF"/>
                <w:sz w:val="18"/>
                <w:szCs w:val="18"/>
              </w:rPr>
            </w:pPr>
            <w:r w:rsidRPr="00B30ADA">
              <w:rPr>
                <w:rFonts w:ascii="Segoe UI Semibold" w:hAnsi="Segoe UI Semibold" w:cs="Segoe UI Semibold"/>
                <w:color w:val="FFFFFF"/>
                <w:sz w:val="18"/>
                <w:szCs w:val="18"/>
              </w:rPr>
              <w:t>Black</w:t>
            </w:r>
          </w:p>
        </w:tc>
        <w:tc>
          <w:tcPr>
            <w:tcW w:w="990" w:type="dxa"/>
            <w:shd w:val="clear" w:color="auto" w:fill="20A5E8" w:themeFill="accent1"/>
            <w:vAlign w:val="center"/>
          </w:tcPr>
          <w:p w14:paraId="5BF35369" w14:textId="77777777" w:rsidR="002A36FF" w:rsidRPr="00B30ADA" w:rsidRDefault="002A36FF" w:rsidP="00402B3F">
            <w:pPr>
              <w:spacing w:after="0" w:line="240" w:lineRule="auto"/>
              <w:rPr>
                <w:rFonts w:ascii="Segoe UI Semibold" w:hAnsi="Segoe UI Semibold" w:cs="Segoe UI Semibold"/>
                <w:color w:val="FFFFFF"/>
                <w:sz w:val="18"/>
                <w:szCs w:val="18"/>
              </w:rPr>
            </w:pPr>
            <w:r w:rsidRPr="00B30ADA">
              <w:rPr>
                <w:rFonts w:ascii="Segoe UI Semibold" w:hAnsi="Segoe UI Semibold" w:cs="Segoe UI Semibold"/>
                <w:color w:val="FFFFFF"/>
                <w:sz w:val="18"/>
                <w:szCs w:val="18"/>
              </w:rPr>
              <w:t>Hispanic</w:t>
            </w:r>
          </w:p>
        </w:tc>
        <w:tc>
          <w:tcPr>
            <w:tcW w:w="720" w:type="dxa"/>
            <w:shd w:val="clear" w:color="auto" w:fill="20A5E8" w:themeFill="accent1"/>
            <w:vAlign w:val="center"/>
          </w:tcPr>
          <w:p w14:paraId="20D3BDCF" w14:textId="3804F133" w:rsidR="002A36FF" w:rsidRPr="00B30ADA" w:rsidRDefault="002A36FF" w:rsidP="00402B3F">
            <w:pPr>
              <w:spacing w:after="0" w:line="240" w:lineRule="auto"/>
              <w:rPr>
                <w:rFonts w:ascii="Segoe UI Semibold" w:hAnsi="Segoe UI Semibold" w:cs="Segoe UI Semibold"/>
                <w:color w:val="FFFFFF"/>
                <w:sz w:val="18"/>
                <w:szCs w:val="18"/>
              </w:rPr>
            </w:pPr>
            <w:r>
              <w:rPr>
                <w:rFonts w:ascii="Segoe UI Semibold" w:hAnsi="Segoe UI Semibold" w:cs="Segoe UI Semibold"/>
                <w:color w:val="FFFFFF"/>
                <w:sz w:val="18"/>
                <w:szCs w:val="18"/>
              </w:rPr>
              <w:t>18-64</w:t>
            </w:r>
          </w:p>
        </w:tc>
        <w:tc>
          <w:tcPr>
            <w:tcW w:w="630" w:type="dxa"/>
            <w:shd w:val="clear" w:color="auto" w:fill="20A5E8" w:themeFill="accent1"/>
            <w:vAlign w:val="center"/>
          </w:tcPr>
          <w:p w14:paraId="76257FCB" w14:textId="2962A38D" w:rsidR="002A36FF" w:rsidRPr="00B30ADA" w:rsidRDefault="002A36FF" w:rsidP="00402B3F">
            <w:pPr>
              <w:spacing w:after="0" w:line="240" w:lineRule="auto"/>
              <w:rPr>
                <w:rFonts w:ascii="Segoe UI Semibold" w:hAnsi="Segoe UI Semibold" w:cs="Segoe UI Semibold"/>
                <w:color w:val="FFFFFF"/>
                <w:sz w:val="18"/>
                <w:szCs w:val="18"/>
              </w:rPr>
            </w:pPr>
            <w:r>
              <w:rPr>
                <w:rFonts w:ascii="Segoe UI Semibold" w:hAnsi="Segoe UI Semibold" w:cs="Segoe UI Semibold"/>
                <w:color w:val="FFFFFF"/>
                <w:sz w:val="18"/>
                <w:szCs w:val="18"/>
              </w:rPr>
              <w:t>65+</w:t>
            </w:r>
          </w:p>
        </w:tc>
        <w:tc>
          <w:tcPr>
            <w:tcW w:w="1080" w:type="dxa"/>
            <w:shd w:val="clear" w:color="auto" w:fill="20A5E8" w:themeFill="accent1"/>
            <w:noWrap/>
            <w:vAlign w:val="center"/>
          </w:tcPr>
          <w:p w14:paraId="24A43D7E" w14:textId="77777777" w:rsidR="002A36FF" w:rsidRPr="00B30ADA" w:rsidRDefault="002A36FF" w:rsidP="00842C48">
            <w:pPr>
              <w:spacing w:after="0" w:line="240" w:lineRule="auto"/>
              <w:jc w:val="center"/>
              <w:rPr>
                <w:rFonts w:ascii="Segoe UI Semibold" w:hAnsi="Segoe UI Semibold" w:cs="Segoe UI Semibold"/>
                <w:color w:val="FFFFFF"/>
                <w:sz w:val="18"/>
                <w:szCs w:val="18"/>
              </w:rPr>
            </w:pPr>
            <w:r w:rsidRPr="00B30ADA">
              <w:rPr>
                <w:rFonts w:ascii="Segoe UI Semibold" w:hAnsi="Segoe UI Semibold" w:cs="Segoe UI Semibold"/>
                <w:color w:val="FFFFFF"/>
                <w:sz w:val="18"/>
                <w:szCs w:val="18"/>
              </w:rPr>
              <w:t>Insured</w:t>
            </w:r>
          </w:p>
        </w:tc>
        <w:tc>
          <w:tcPr>
            <w:tcW w:w="1080" w:type="dxa"/>
            <w:shd w:val="clear" w:color="auto" w:fill="20A5E8" w:themeFill="accent1"/>
            <w:vAlign w:val="center"/>
          </w:tcPr>
          <w:p w14:paraId="4BD7DA46" w14:textId="77777777" w:rsidR="002A36FF" w:rsidRPr="00B30ADA" w:rsidRDefault="002A36FF" w:rsidP="00402B3F">
            <w:pPr>
              <w:spacing w:after="0" w:line="240" w:lineRule="auto"/>
              <w:rPr>
                <w:rFonts w:ascii="Segoe UI Semibold" w:hAnsi="Segoe UI Semibold" w:cs="Segoe UI Semibold"/>
                <w:color w:val="FFFFFF"/>
                <w:sz w:val="18"/>
                <w:szCs w:val="18"/>
              </w:rPr>
            </w:pPr>
            <w:r w:rsidRPr="00B30ADA">
              <w:rPr>
                <w:rFonts w:ascii="Segoe UI Semibold" w:hAnsi="Segoe UI Semibold" w:cs="Segoe UI Semibold"/>
                <w:color w:val="FFFFFF"/>
                <w:sz w:val="18"/>
                <w:szCs w:val="18"/>
              </w:rPr>
              <w:t>Uninsured</w:t>
            </w:r>
          </w:p>
        </w:tc>
      </w:tr>
      <w:tr w:rsidR="0039286B" w:rsidRPr="00F4455B" w14:paraId="792F85A0" w14:textId="77777777" w:rsidTr="00B026AA">
        <w:trPr>
          <w:trHeight w:val="392"/>
        </w:trPr>
        <w:tc>
          <w:tcPr>
            <w:tcW w:w="3330" w:type="dxa"/>
            <w:shd w:val="clear" w:color="auto" w:fill="444444" w:themeFill="text1" w:themeFillTint="E6"/>
            <w:noWrap/>
            <w:vAlign w:val="center"/>
          </w:tcPr>
          <w:p w14:paraId="764CE03B" w14:textId="26BB2000" w:rsidR="002A36FF" w:rsidRPr="00FF6BC3" w:rsidRDefault="002A36FF" w:rsidP="00FF6BC3">
            <w:pPr>
              <w:spacing w:after="0" w:line="240" w:lineRule="auto"/>
              <w:jc w:val="right"/>
              <w:rPr>
                <w:rFonts w:ascii="Segoe UI Semibold" w:hAnsi="Segoe UI Semibold" w:cs="Segoe UI Semibold"/>
                <w:bCs/>
                <w:color w:val="FFFFFF" w:themeColor="background1"/>
                <w:szCs w:val="20"/>
              </w:rPr>
            </w:pPr>
            <w:r w:rsidRPr="00FF6BC3">
              <w:rPr>
                <w:rFonts w:ascii="Segoe UI Semibold" w:hAnsi="Segoe UI Semibold" w:cs="Segoe UI Semibold"/>
                <w:bCs/>
                <w:color w:val="FFFFFF" w:themeColor="background1"/>
                <w:szCs w:val="20"/>
              </w:rPr>
              <w:t>Very or somewhat difficult to afford health care</w:t>
            </w:r>
          </w:p>
        </w:tc>
        <w:tc>
          <w:tcPr>
            <w:tcW w:w="810" w:type="dxa"/>
            <w:shd w:val="clear" w:color="auto" w:fill="D9D9D9" w:themeFill="background1" w:themeFillShade="D9"/>
            <w:vAlign w:val="center"/>
          </w:tcPr>
          <w:p w14:paraId="7E431EAE" w14:textId="4A5D809A" w:rsidR="002A36FF" w:rsidRPr="002A36FF" w:rsidRDefault="002A36FF" w:rsidP="002A36FF">
            <w:pPr>
              <w:spacing w:after="0" w:line="240" w:lineRule="auto"/>
              <w:jc w:val="center"/>
              <w:rPr>
                <w:rFonts w:cstheme="minorHAnsi"/>
                <w:bCs/>
                <w:szCs w:val="20"/>
              </w:rPr>
            </w:pPr>
            <w:r w:rsidRPr="002A36FF">
              <w:rPr>
                <w:rFonts w:cstheme="minorHAnsi"/>
                <w:bCs/>
                <w:szCs w:val="20"/>
              </w:rPr>
              <w:t>41%</w:t>
            </w:r>
          </w:p>
        </w:tc>
        <w:tc>
          <w:tcPr>
            <w:tcW w:w="720" w:type="dxa"/>
            <w:shd w:val="clear" w:color="auto" w:fill="D9D9D9" w:themeFill="background1" w:themeFillShade="D9"/>
            <w:vAlign w:val="center"/>
          </w:tcPr>
          <w:p w14:paraId="6FFD0519" w14:textId="6300B14F" w:rsidR="002A36FF" w:rsidRPr="002A36FF" w:rsidRDefault="002A36FF" w:rsidP="002A36FF">
            <w:pPr>
              <w:spacing w:after="0" w:line="240" w:lineRule="auto"/>
              <w:jc w:val="center"/>
              <w:rPr>
                <w:rFonts w:cstheme="minorHAnsi"/>
                <w:bCs/>
                <w:szCs w:val="20"/>
              </w:rPr>
            </w:pPr>
            <w:r w:rsidRPr="002A36FF">
              <w:rPr>
                <w:rFonts w:cstheme="minorHAnsi"/>
                <w:bCs/>
                <w:szCs w:val="20"/>
              </w:rPr>
              <w:t>45%</w:t>
            </w:r>
          </w:p>
        </w:tc>
        <w:tc>
          <w:tcPr>
            <w:tcW w:w="990" w:type="dxa"/>
            <w:shd w:val="clear" w:color="auto" w:fill="D9D9D9" w:themeFill="background1" w:themeFillShade="D9"/>
            <w:vAlign w:val="center"/>
          </w:tcPr>
          <w:p w14:paraId="58B99514" w14:textId="6AD8E426" w:rsidR="002A36FF" w:rsidRPr="002A36FF" w:rsidRDefault="002A36FF" w:rsidP="002A36FF">
            <w:pPr>
              <w:spacing w:after="0" w:line="240" w:lineRule="auto"/>
              <w:jc w:val="center"/>
              <w:rPr>
                <w:rFonts w:cstheme="minorHAnsi"/>
                <w:bCs/>
                <w:szCs w:val="20"/>
              </w:rPr>
            </w:pPr>
            <w:r w:rsidRPr="002A36FF">
              <w:rPr>
                <w:rFonts w:cstheme="minorHAnsi"/>
                <w:bCs/>
                <w:szCs w:val="20"/>
              </w:rPr>
              <w:t>58%</w:t>
            </w:r>
          </w:p>
        </w:tc>
        <w:tc>
          <w:tcPr>
            <w:tcW w:w="720" w:type="dxa"/>
            <w:shd w:val="clear" w:color="auto" w:fill="D9D9D9" w:themeFill="background1" w:themeFillShade="D9"/>
            <w:vAlign w:val="center"/>
          </w:tcPr>
          <w:p w14:paraId="629909FD" w14:textId="6931D848" w:rsidR="002A36FF" w:rsidRPr="002A36FF" w:rsidRDefault="002A36FF" w:rsidP="002A36FF">
            <w:pPr>
              <w:spacing w:after="0" w:line="240" w:lineRule="auto"/>
              <w:jc w:val="center"/>
              <w:rPr>
                <w:rFonts w:cstheme="minorHAnsi"/>
                <w:bCs/>
                <w:szCs w:val="20"/>
              </w:rPr>
            </w:pPr>
            <w:r w:rsidRPr="002A36FF">
              <w:rPr>
                <w:rFonts w:cstheme="minorHAnsi"/>
                <w:bCs/>
                <w:szCs w:val="20"/>
              </w:rPr>
              <w:t>51%</w:t>
            </w:r>
          </w:p>
        </w:tc>
        <w:tc>
          <w:tcPr>
            <w:tcW w:w="630" w:type="dxa"/>
            <w:shd w:val="clear" w:color="auto" w:fill="D9D9D9" w:themeFill="background1" w:themeFillShade="D9"/>
            <w:vAlign w:val="center"/>
          </w:tcPr>
          <w:p w14:paraId="24211411" w14:textId="2AB59254" w:rsidR="002A36FF" w:rsidRPr="002A36FF" w:rsidRDefault="002A36FF" w:rsidP="002A36FF">
            <w:pPr>
              <w:spacing w:after="0" w:line="240" w:lineRule="auto"/>
              <w:jc w:val="center"/>
              <w:rPr>
                <w:rFonts w:cstheme="minorHAnsi"/>
                <w:bCs/>
                <w:szCs w:val="20"/>
              </w:rPr>
            </w:pPr>
            <w:r w:rsidRPr="002A36FF">
              <w:rPr>
                <w:rFonts w:cstheme="minorHAnsi"/>
                <w:bCs/>
                <w:szCs w:val="20"/>
              </w:rPr>
              <w:t>32%</w:t>
            </w:r>
          </w:p>
        </w:tc>
        <w:tc>
          <w:tcPr>
            <w:tcW w:w="1080" w:type="dxa"/>
            <w:shd w:val="clear" w:color="auto" w:fill="D9D9D9" w:themeFill="background1" w:themeFillShade="D9"/>
            <w:noWrap/>
            <w:vAlign w:val="center"/>
          </w:tcPr>
          <w:p w14:paraId="01EBB5F9" w14:textId="001C193E" w:rsidR="002A36FF" w:rsidRPr="002A36FF" w:rsidRDefault="002A36FF" w:rsidP="002A36FF">
            <w:pPr>
              <w:spacing w:after="0" w:line="240" w:lineRule="auto"/>
              <w:jc w:val="center"/>
              <w:rPr>
                <w:rFonts w:cstheme="minorHAnsi"/>
                <w:bCs/>
                <w:szCs w:val="20"/>
              </w:rPr>
            </w:pPr>
            <w:r w:rsidRPr="002A36FF">
              <w:rPr>
                <w:rFonts w:cstheme="minorHAnsi"/>
                <w:bCs/>
                <w:szCs w:val="20"/>
              </w:rPr>
              <w:t>38%</w:t>
            </w:r>
          </w:p>
        </w:tc>
        <w:tc>
          <w:tcPr>
            <w:tcW w:w="1080" w:type="dxa"/>
            <w:shd w:val="clear" w:color="auto" w:fill="D9D9D9" w:themeFill="background1" w:themeFillShade="D9"/>
            <w:vAlign w:val="center"/>
          </w:tcPr>
          <w:p w14:paraId="4AB0BC2A" w14:textId="23346CF8" w:rsidR="002A36FF" w:rsidRPr="002A36FF" w:rsidRDefault="002A36FF" w:rsidP="002A36FF">
            <w:pPr>
              <w:spacing w:after="0" w:line="240" w:lineRule="auto"/>
              <w:jc w:val="center"/>
              <w:rPr>
                <w:rFonts w:cstheme="minorHAnsi"/>
                <w:bCs/>
                <w:szCs w:val="20"/>
              </w:rPr>
            </w:pPr>
            <w:r w:rsidRPr="002A36FF">
              <w:rPr>
                <w:rFonts w:cstheme="minorHAnsi"/>
                <w:bCs/>
                <w:szCs w:val="20"/>
              </w:rPr>
              <w:t>83%</w:t>
            </w:r>
          </w:p>
        </w:tc>
      </w:tr>
      <w:tr w:rsidR="0039286B" w:rsidRPr="00F4455B" w14:paraId="47D4A342" w14:textId="77777777" w:rsidTr="00B026AA">
        <w:trPr>
          <w:trHeight w:val="392"/>
        </w:trPr>
        <w:tc>
          <w:tcPr>
            <w:tcW w:w="3330" w:type="dxa"/>
            <w:tcBorders>
              <w:bottom w:val="single" w:sz="2" w:space="0" w:color="FFFFFF" w:themeColor="background1"/>
            </w:tcBorders>
            <w:shd w:val="clear" w:color="auto" w:fill="444444" w:themeFill="text1" w:themeFillTint="E6"/>
            <w:noWrap/>
            <w:vAlign w:val="center"/>
          </w:tcPr>
          <w:p w14:paraId="2F265153" w14:textId="6F1EE248" w:rsidR="002A36FF" w:rsidRPr="00FF6BC3" w:rsidRDefault="002A36FF" w:rsidP="00FF6BC3">
            <w:pPr>
              <w:spacing w:after="0" w:line="240" w:lineRule="auto"/>
              <w:jc w:val="right"/>
              <w:rPr>
                <w:rFonts w:ascii="Segoe UI Semibold" w:hAnsi="Segoe UI Semibold" w:cs="Segoe UI Semibold"/>
                <w:bCs/>
                <w:i/>
                <w:iCs/>
                <w:color w:val="FFFFFF" w:themeColor="background1"/>
                <w:szCs w:val="20"/>
              </w:rPr>
            </w:pPr>
            <w:r w:rsidRPr="00FF6BC3">
              <w:rPr>
                <w:rFonts w:ascii="Segoe UI Semibold" w:hAnsi="Segoe UI Semibold" w:cs="Segoe UI Semibold"/>
                <w:bCs/>
                <w:color w:val="FFFFFF" w:themeColor="background1"/>
                <w:szCs w:val="20"/>
              </w:rPr>
              <w:t>Problems paying medical bills</w:t>
            </w:r>
          </w:p>
        </w:tc>
        <w:tc>
          <w:tcPr>
            <w:tcW w:w="810" w:type="dxa"/>
            <w:tcBorders>
              <w:bottom w:val="single" w:sz="2" w:space="0" w:color="FFFFFF" w:themeColor="background1"/>
            </w:tcBorders>
            <w:shd w:val="clear" w:color="auto" w:fill="FFFFFF" w:themeFill="background1"/>
            <w:vAlign w:val="center"/>
          </w:tcPr>
          <w:p w14:paraId="6C0A9CEA" w14:textId="3A506FE6" w:rsidR="002A36FF" w:rsidRPr="002A36FF" w:rsidRDefault="007C6106" w:rsidP="002A36FF">
            <w:pPr>
              <w:spacing w:after="0" w:line="240" w:lineRule="auto"/>
              <w:jc w:val="center"/>
              <w:rPr>
                <w:rFonts w:cstheme="minorHAnsi"/>
                <w:bCs/>
                <w:szCs w:val="20"/>
              </w:rPr>
            </w:pPr>
            <w:r>
              <w:rPr>
                <w:rFonts w:cstheme="minorHAnsi"/>
                <w:bCs/>
                <w:szCs w:val="20"/>
              </w:rPr>
              <w:t>32%</w:t>
            </w:r>
          </w:p>
        </w:tc>
        <w:tc>
          <w:tcPr>
            <w:tcW w:w="720" w:type="dxa"/>
            <w:tcBorders>
              <w:bottom w:val="single" w:sz="2" w:space="0" w:color="FFFFFF" w:themeColor="background1"/>
            </w:tcBorders>
            <w:shd w:val="clear" w:color="auto" w:fill="FFFFFF" w:themeFill="background1"/>
            <w:vAlign w:val="center"/>
          </w:tcPr>
          <w:p w14:paraId="6E32ACF3" w14:textId="39EB8E2A" w:rsidR="002A36FF" w:rsidRPr="002A36FF" w:rsidRDefault="007C6106" w:rsidP="002A36FF">
            <w:pPr>
              <w:spacing w:after="0" w:line="240" w:lineRule="auto"/>
              <w:jc w:val="center"/>
              <w:rPr>
                <w:rFonts w:cstheme="minorHAnsi"/>
                <w:bCs/>
                <w:szCs w:val="20"/>
              </w:rPr>
            </w:pPr>
            <w:r>
              <w:rPr>
                <w:rFonts w:cstheme="minorHAnsi"/>
                <w:bCs/>
                <w:szCs w:val="20"/>
              </w:rPr>
              <w:t>38%</w:t>
            </w:r>
          </w:p>
        </w:tc>
        <w:tc>
          <w:tcPr>
            <w:tcW w:w="990" w:type="dxa"/>
            <w:tcBorders>
              <w:bottom w:val="single" w:sz="2" w:space="0" w:color="FFFFFF" w:themeColor="background1"/>
            </w:tcBorders>
            <w:shd w:val="clear" w:color="auto" w:fill="FFFFFF" w:themeFill="background1"/>
            <w:vAlign w:val="center"/>
          </w:tcPr>
          <w:p w14:paraId="2921CE81" w14:textId="46BCEA39" w:rsidR="002A36FF" w:rsidRPr="002A36FF" w:rsidRDefault="007C6106" w:rsidP="002A36FF">
            <w:pPr>
              <w:spacing w:after="0" w:line="240" w:lineRule="auto"/>
              <w:jc w:val="center"/>
              <w:rPr>
                <w:rFonts w:cstheme="minorHAnsi"/>
                <w:bCs/>
                <w:szCs w:val="20"/>
              </w:rPr>
            </w:pPr>
            <w:r>
              <w:rPr>
                <w:rFonts w:cstheme="minorHAnsi"/>
                <w:bCs/>
                <w:szCs w:val="20"/>
              </w:rPr>
              <w:t>41%</w:t>
            </w:r>
          </w:p>
        </w:tc>
        <w:tc>
          <w:tcPr>
            <w:tcW w:w="720" w:type="dxa"/>
            <w:tcBorders>
              <w:bottom w:val="single" w:sz="2" w:space="0" w:color="FFFFFF" w:themeColor="background1"/>
            </w:tcBorders>
            <w:shd w:val="clear" w:color="auto" w:fill="FFFFFF" w:themeFill="background1"/>
            <w:vAlign w:val="center"/>
          </w:tcPr>
          <w:p w14:paraId="10FBF7D1" w14:textId="51363416" w:rsidR="002A36FF" w:rsidRPr="002A36FF" w:rsidRDefault="007C6106" w:rsidP="002A36FF">
            <w:pPr>
              <w:spacing w:after="0" w:line="240" w:lineRule="auto"/>
              <w:jc w:val="center"/>
              <w:rPr>
                <w:rFonts w:cstheme="minorHAnsi"/>
                <w:bCs/>
                <w:szCs w:val="20"/>
              </w:rPr>
            </w:pPr>
            <w:r>
              <w:rPr>
                <w:rFonts w:cstheme="minorHAnsi"/>
                <w:bCs/>
                <w:szCs w:val="20"/>
              </w:rPr>
              <w:t>39</w:t>
            </w:r>
            <w:r w:rsidR="002A36FF" w:rsidRPr="002A36FF">
              <w:rPr>
                <w:rFonts w:cstheme="minorHAnsi"/>
                <w:bCs/>
                <w:szCs w:val="20"/>
              </w:rPr>
              <w:t>%</w:t>
            </w:r>
          </w:p>
        </w:tc>
        <w:tc>
          <w:tcPr>
            <w:tcW w:w="630" w:type="dxa"/>
            <w:tcBorders>
              <w:bottom w:val="single" w:sz="2" w:space="0" w:color="FFFFFF" w:themeColor="background1"/>
            </w:tcBorders>
            <w:shd w:val="clear" w:color="auto" w:fill="FFFFFF" w:themeFill="background1"/>
            <w:vAlign w:val="center"/>
          </w:tcPr>
          <w:p w14:paraId="2D5ED54F" w14:textId="7DDE4012" w:rsidR="002A36FF" w:rsidRPr="002A36FF" w:rsidRDefault="007C6106" w:rsidP="002A36FF">
            <w:pPr>
              <w:spacing w:after="0" w:line="240" w:lineRule="auto"/>
              <w:jc w:val="center"/>
              <w:rPr>
                <w:rFonts w:cstheme="minorHAnsi"/>
                <w:bCs/>
                <w:szCs w:val="20"/>
              </w:rPr>
            </w:pPr>
            <w:r>
              <w:rPr>
                <w:rFonts w:cstheme="minorHAnsi"/>
                <w:bCs/>
                <w:szCs w:val="20"/>
              </w:rPr>
              <w:t>20</w:t>
            </w:r>
            <w:r w:rsidR="002A36FF" w:rsidRPr="002A36FF">
              <w:rPr>
                <w:rFonts w:cstheme="minorHAnsi"/>
                <w:bCs/>
                <w:szCs w:val="20"/>
              </w:rPr>
              <w:t>%</w:t>
            </w:r>
          </w:p>
        </w:tc>
        <w:tc>
          <w:tcPr>
            <w:tcW w:w="1080" w:type="dxa"/>
            <w:tcBorders>
              <w:bottom w:val="single" w:sz="2" w:space="0" w:color="FFFFFF" w:themeColor="background1"/>
            </w:tcBorders>
            <w:shd w:val="clear" w:color="auto" w:fill="FFFFFF" w:themeFill="background1"/>
            <w:noWrap/>
            <w:vAlign w:val="center"/>
          </w:tcPr>
          <w:p w14:paraId="4067DE2F" w14:textId="00D12A54" w:rsidR="002A36FF" w:rsidRPr="002A36FF" w:rsidRDefault="002A36FF" w:rsidP="002A36FF">
            <w:pPr>
              <w:spacing w:after="0" w:line="240" w:lineRule="auto"/>
              <w:jc w:val="center"/>
              <w:rPr>
                <w:rFonts w:cstheme="minorHAnsi"/>
                <w:bCs/>
                <w:szCs w:val="20"/>
              </w:rPr>
            </w:pPr>
            <w:r w:rsidRPr="002A36FF">
              <w:rPr>
                <w:rFonts w:cstheme="minorHAnsi"/>
                <w:bCs/>
                <w:szCs w:val="20"/>
              </w:rPr>
              <w:t>32%</w:t>
            </w:r>
          </w:p>
        </w:tc>
        <w:tc>
          <w:tcPr>
            <w:tcW w:w="1080" w:type="dxa"/>
            <w:tcBorders>
              <w:bottom w:val="single" w:sz="2" w:space="0" w:color="FFFFFF" w:themeColor="background1"/>
            </w:tcBorders>
            <w:shd w:val="clear" w:color="auto" w:fill="FFFFFF" w:themeFill="background1"/>
            <w:vAlign w:val="center"/>
          </w:tcPr>
          <w:p w14:paraId="6BC38BBC" w14:textId="504572A2" w:rsidR="002A36FF" w:rsidRPr="002A36FF" w:rsidRDefault="002A36FF" w:rsidP="002A36FF">
            <w:pPr>
              <w:spacing w:after="0" w:line="240" w:lineRule="auto"/>
              <w:jc w:val="center"/>
              <w:rPr>
                <w:rFonts w:cstheme="minorHAnsi"/>
                <w:bCs/>
                <w:szCs w:val="20"/>
              </w:rPr>
            </w:pPr>
            <w:r w:rsidRPr="002A36FF">
              <w:rPr>
                <w:rFonts w:cstheme="minorHAnsi"/>
                <w:bCs/>
                <w:szCs w:val="20"/>
              </w:rPr>
              <w:t>54%</w:t>
            </w:r>
          </w:p>
        </w:tc>
      </w:tr>
      <w:tr w:rsidR="0039286B" w:rsidRPr="00F4455B" w14:paraId="618B14E6" w14:textId="77777777" w:rsidTr="00B026AA">
        <w:trPr>
          <w:trHeight w:val="392"/>
        </w:trPr>
        <w:tc>
          <w:tcPr>
            <w:tcW w:w="3330" w:type="dxa"/>
            <w:tcBorders>
              <w:top w:val="single" w:sz="2" w:space="0" w:color="FFFFFF" w:themeColor="background1"/>
              <w:bottom w:val="single" w:sz="24" w:space="0" w:color="20A5E8" w:themeColor="accent1"/>
            </w:tcBorders>
            <w:shd w:val="clear" w:color="auto" w:fill="444444" w:themeFill="text1" w:themeFillTint="E6"/>
            <w:noWrap/>
            <w:vAlign w:val="center"/>
          </w:tcPr>
          <w:p w14:paraId="7A437BAD" w14:textId="77777777" w:rsidR="00FF6BC3" w:rsidRDefault="002A36FF" w:rsidP="00FF6BC3">
            <w:pPr>
              <w:spacing w:after="0" w:line="240" w:lineRule="auto"/>
              <w:jc w:val="right"/>
              <w:rPr>
                <w:rFonts w:ascii="Segoe UI Semibold" w:hAnsi="Segoe UI Semibold" w:cs="Segoe UI Semibold"/>
                <w:bCs/>
                <w:color w:val="FFFFFF" w:themeColor="background1"/>
                <w:szCs w:val="20"/>
              </w:rPr>
            </w:pPr>
            <w:r w:rsidRPr="00FF6BC3">
              <w:rPr>
                <w:rFonts w:ascii="Segoe UI Semibold" w:hAnsi="Segoe UI Semibold" w:cs="Segoe UI Semibold"/>
                <w:bCs/>
                <w:color w:val="FFFFFF" w:themeColor="background1"/>
                <w:szCs w:val="20"/>
              </w:rPr>
              <w:t xml:space="preserve">Skipped or postponed care </w:t>
            </w:r>
          </w:p>
          <w:p w14:paraId="4387ED79" w14:textId="18FB42EF" w:rsidR="002A36FF" w:rsidRPr="00FF6BC3" w:rsidRDefault="002A36FF" w:rsidP="00FF6BC3">
            <w:pPr>
              <w:spacing w:after="0" w:line="240" w:lineRule="auto"/>
              <w:jc w:val="right"/>
              <w:rPr>
                <w:rFonts w:ascii="Segoe UI Semibold" w:hAnsi="Segoe UI Semibold" w:cs="Segoe UI Semibold"/>
                <w:bCs/>
                <w:i/>
                <w:iCs/>
                <w:color w:val="FFFFFF" w:themeColor="background1"/>
                <w:szCs w:val="20"/>
              </w:rPr>
            </w:pPr>
            <w:r w:rsidRPr="00FF6BC3">
              <w:rPr>
                <w:rFonts w:ascii="Segoe UI Semibold" w:hAnsi="Segoe UI Semibold" w:cs="Segoe UI Semibold"/>
                <w:bCs/>
                <w:color w:val="FFFFFF" w:themeColor="background1"/>
                <w:szCs w:val="20"/>
              </w:rPr>
              <w:t>due to cost</w:t>
            </w:r>
          </w:p>
        </w:tc>
        <w:tc>
          <w:tcPr>
            <w:tcW w:w="810" w:type="dxa"/>
            <w:tcBorders>
              <w:top w:val="single" w:sz="2" w:space="0" w:color="FFFFFF" w:themeColor="background1"/>
              <w:bottom w:val="single" w:sz="24" w:space="0" w:color="20A5E8" w:themeColor="accent1"/>
            </w:tcBorders>
            <w:shd w:val="clear" w:color="auto" w:fill="DBDBDB" w:themeFill="background2" w:themeFillTint="66"/>
            <w:vAlign w:val="center"/>
          </w:tcPr>
          <w:p w14:paraId="50AE1445" w14:textId="69A772FD" w:rsidR="002A36FF" w:rsidRPr="002A36FF" w:rsidRDefault="007C6106" w:rsidP="002A36FF">
            <w:pPr>
              <w:spacing w:after="0" w:line="240" w:lineRule="auto"/>
              <w:jc w:val="center"/>
              <w:rPr>
                <w:rFonts w:cstheme="minorHAnsi"/>
                <w:bCs/>
                <w:szCs w:val="20"/>
              </w:rPr>
            </w:pPr>
            <w:r>
              <w:rPr>
                <w:rFonts w:cstheme="minorHAnsi"/>
                <w:bCs/>
                <w:szCs w:val="20"/>
              </w:rPr>
              <w:t>57%</w:t>
            </w:r>
          </w:p>
        </w:tc>
        <w:tc>
          <w:tcPr>
            <w:tcW w:w="720" w:type="dxa"/>
            <w:tcBorders>
              <w:top w:val="single" w:sz="2" w:space="0" w:color="FFFFFF" w:themeColor="background1"/>
              <w:bottom w:val="single" w:sz="24" w:space="0" w:color="20A5E8" w:themeColor="accent1"/>
            </w:tcBorders>
            <w:shd w:val="clear" w:color="auto" w:fill="DBDBDB" w:themeFill="background2" w:themeFillTint="66"/>
            <w:vAlign w:val="center"/>
          </w:tcPr>
          <w:p w14:paraId="414C88B0" w14:textId="74505B80" w:rsidR="002A36FF" w:rsidRPr="002A36FF" w:rsidRDefault="007C6106" w:rsidP="002A36FF">
            <w:pPr>
              <w:spacing w:after="0" w:line="240" w:lineRule="auto"/>
              <w:jc w:val="center"/>
              <w:rPr>
                <w:rFonts w:cstheme="minorHAnsi"/>
                <w:bCs/>
                <w:szCs w:val="20"/>
              </w:rPr>
            </w:pPr>
            <w:r>
              <w:rPr>
                <w:rFonts w:cstheme="minorHAnsi"/>
                <w:bCs/>
                <w:szCs w:val="20"/>
              </w:rPr>
              <w:t>63%</w:t>
            </w:r>
          </w:p>
        </w:tc>
        <w:tc>
          <w:tcPr>
            <w:tcW w:w="990" w:type="dxa"/>
            <w:tcBorders>
              <w:top w:val="single" w:sz="2" w:space="0" w:color="FFFFFF" w:themeColor="background1"/>
              <w:bottom w:val="single" w:sz="24" w:space="0" w:color="20A5E8" w:themeColor="accent1"/>
            </w:tcBorders>
            <w:shd w:val="clear" w:color="auto" w:fill="DBDBDB" w:themeFill="background2" w:themeFillTint="66"/>
            <w:vAlign w:val="center"/>
          </w:tcPr>
          <w:p w14:paraId="302497D0" w14:textId="4DF20F05" w:rsidR="002A36FF" w:rsidRPr="002A36FF" w:rsidRDefault="007C6106" w:rsidP="002A36FF">
            <w:pPr>
              <w:spacing w:after="0" w:line="240" w:lineRule="auto"/>
              <w:jc w:val="center"/>
              <w:rPr>
                <w:rFonts w:cstheme="minorHAnsi"/>
                <w:bCs/>
                <w:szCs w:val="20"/>
              </w:rPr>
            </w:pPr>
            <w:r>
              <w:rPr>
                <w:rFonts w:cstheme="minorHAnsi"/>
                <w:bCs/>
                <w:szCs w:val="20"/>
              </w:rPr>
              <w:t>61%</w:t>
            </w:r>
          </w:p>
        </w:tc>
        <w:tc>
          <w:tcPr>
            <w:tcW w:w="720" w:type="dxa"/>
            <w:tcBorders>
              <w:top w:val="single" w:sz="2" w:space="0" w:color="FFFFFF" w:themeColor="background1"/>
              <w:bottom w:val="single" w:sz="24" w:space="0" w:color="20A5E8" w:themeColor="accent1"/>
            </w:tcBorders>
            <w:shd w:val="clear" w:color="auto" w:fill="DBDBDB" w:themeFill="background2" w:themeFillTint="66"/>
            <w:vAlign w:val="center"/>
          </w:tcPr>
          <w:p w14:paraId="06E0D22B" w14:textId="77777777" w:rsidR="002A36FF" w:rsidRPr="002A36FF" w:rsidRDefault="002A36FF" w:rsidP="002A36FF">
            <w:pPr>
              <w:spacing w:after="0" w:line="240" w:lineRule="auto"/>
              <w:jc w:val="center"/>
              <w:rPr>
                <w:rFonts w:cstheme="minorHAnsi"/>
                <w:bCs/>
                <w:szCs w:val="20"/>
              </w:rPr>
            </w:pPr>
            <w:r w:rsidRPr="002A36FF">
              <w:rPr>
                <w:rFonts w:cstheme="minorHAnsi"/>
                <w:bCs/>
                <w:szCs w:val="20"/>
              </w:rPr>
              <w:t>17%</w:t>
            </w:r>
          </w:p>
        </w:tc>
        <w:tc>
          <w:tcPr>
            <w:tcW w:w="630" w:type="dxa"/>
            <w:tcBorders>
              <w:top w:val="single" w:sz="2" w:space="0" w:color="FFFFFF" w:themeColor="background1"/>
              <w:bottom w:val="single" w:sz="24" w:space="0" w:color="20A5E8" w:themeColor="accent1"/>
            </w:tcBorders>
            <w:shd w:val="clear" w:color="auto" w:fill="DBDBDB" w:themeFill="background2" w:themeFillTint="66"/>
            <w:vAlign w:val="center"/>
          </w:tcPr>
          <w:p w14:paraId="79EB79A9" w14:textId="77777777" w:rsidR="002A36FF" w:rsidRPr="002A36FF" w:rsidRDefault="002A36FF" w:rsidP="002A36FF">
            <w:pPr>
              <w:spacing w:after="0" w:line="240" w:lineRule="auto"/>
              <w:jc w:val="center"/>
              <w:rPr>
                <w:rFonts w:cstheme="minorHAnsi"/>
                <w:bCs/>
                <w:szCs w:val="20"/>
              </w:rPr>
            </w:pPr>
            <w:r w:rsidRPr="002A36FF">
              <w:rPr>
                <w:rFonts w:cstheme="minorHAnsi"/>
                <w:bCs/>
                <w:szCs w:val="20"/>
              </w:rPr>
              <w:t>31%</w:t>
            </w:r>
          </w:p>
        </w:tc>
        <w:tc>
          <w:tcPr>
            <w:tcW w:w="1080" w:type="dxa"/>
            <w:tcBorders>
              <w:top w:val="single" w:sz="2" w:space="0" w:color="FFFFFF" w:themeColor="background1"/>
              <w:bottom w:val="single" w:sz="24" w:space="0" w:color="20A5E8" w:themeColor="accent1"/>
            </w:tcBorders>
            <w:shd w:val="clear" w:color="auto" w:fill="DBDBDB" w:themeFill="background2" w:themeFillTint="66"/>
            <w:noWrap/>
            <w:vAlign w:val="center"/>
          </w:tcPr>
          <w:p w14:paraId="3537FB8D" w14:textId="73EB5514" w:rsidR="002A36FF" w:rsidRPr="002A36FF" w:rsidRDefault="002A36FF" w:rsidP="002A36FF">
            <w:pPr>
              <w:spacing w:after="0" w:line="240" w:lineRule="auto"/>
              <w:jc w:val="center"/>
              <w:rPr>
                <w:rFonts w:cstheme="minorHAnsi"/>
                <w:bCs/>
                <w:szCs w:val="20"/>
              </w:rPr>
            </w:pPr>
            <w:r w:rsidRPr="002A36FF">
              <w:rPr>
                <w:rFonts w:cstheme="minorHAnsi"/>
                <w:bCs/>
                <w:szCs w:val="20"/>
              </w:rPr>
              <w:t>56%</w:t>
            </w:r>
          </w:p>
        </w:tc>
        <w:tc>
          <w:tcPr>
            <w:tcW w:w="1080" w:type="dxa"/>
            <w:tcBorders>
              <w:top w:val="single" w:sz="2" w:space="0" w:color="FFFFFF" w:themeColor="background1"/>
              <w:bottom w:val="single" w:sz="24" w:space="0" w:color="20A5E8" w:themeColor="accent1"/>
            </w:tcBorders>
            <w:shd w:val="clear" w:color="auto" w:fill="DBDBDB" w:themeFill="background2" w:themeFillTint="66"/>
            <w:vAlign w:val="center"/>
          </w:tcPr>
          <w:p w14:paraId="3FBA1A2D" w14:textId="468FAF26" w:rsidR="002A36FF" w:rsidRPr="002A36FF" w:rsidRDefault="002A36FF" w:rsidP="002A36FF">
            <w:pPr>
              <w:spacing w:after="0" w:line="240" w:lineRule="auto"/>
              <w:jc w:val="center"/>
              <w:rPr>
                <w:rFonts w:cstheme="minorHAnsi"/>
                <w:bCs/>
                <w:szCs w:val="20"/>
              </w:rPr>
            </w:pPr>
            <w:r w:rsidRPr="002A36FF">
              <w:rPr>
                <w:rFonts w:cstheme="minorHAnsi"/>
                <w:bCs/>
                <w:szCs w:val="20"/>
              </w:rPr>
              <w:t>78%</w:t>
            </w:r>
          </w:p>
        </w:tc>
      </w:tr>
    </w:tbl>
    <w:p w14:paraId="284D4047" w14:textId="77777777" w:rsidR="00820797" w:rsidRPr="00F4455B" w:rsidRDefault="00820797" w:rsidP="00820797">
      <w:pPr>
        <w:contextualSpacing/>
        <w:rPr>
          <w:rFonts w:cs="Arial"/>
          <w:i/>
          <w:sz w:val="16"/>
          <w:szCs w:val="16"/>
        </w:rPr>
      </w:pPr>
      <w:r w:rsidRPr="00F4455B">
        <w:rPr>
          <w:rFonts w:cs="Arial"/>
          <w:i/>
          <w:sz w:val="16"/>
          <w:szCs w:val="16"/>
        </w:rPr>
        <w:t>Note: Adding individual rows may not match NETS due to rounding.</w:t>
      </w:r>
    </w:p>
    <w:p w14:paraId="4BFD2343" w14:textId="4E89F9B2" w:rsidR="00A46A9E" w:rsidRDefault="0052485A" w:rsidP="000A5C04">
      <w:pPr>
        <w:pStyle w:val="Heading2"/>
      </w:pPr>
      <w:bookmarkStart w:id="16" w:name="_Toc95988998"/>
      <w:r>
        <w:br/>
      </w:r>
      <w:r w:rsidR="000A5C04">
        <w:t>Texans’ Usual Places for Health Care</w:t>
      </w:r>
      <w:bookmarkEnd w:id="16"/>
    </w:p>
    <w:p w14:paraId="7D807146" w14:textId="762AE69D" w:rsidR="00E22E17" w:rsidRDefault="00FF7AEA" w:rsidP="00A46A9E">
      <w:pPr>
        <w:contextualSpacing/>
        <w:rPr>
          <w:szCs w:val="20"/>
        </w:rPr>
      </w:pPr>
      <w:r>
        <w:rPr>
          <w:szCs w:val="20"/>
        </w:rPr>
        <w:t>More than a quarter of Texans do not have a usual place of care or rely on hospital emergency rooms as their usual source of care (29%)</w:t>
      </w:r>
      <w:r w:rsidR="00E22E17">
        <w:rPr>
          <w:szCs w:val="20"/>
        </w:rPr>
        <w:t xml:space="preserve"> (Chart </w:t>
      </w:r>
      <w:r w:rsidR="00BF1327">
        <w:rPr>
          <w:szCs w:val="20"/>
        </w:rPr>
        <w:t>9</w:t>
      </w:r>
      <w:r w:rsidR="00E22E17">
        <w:rPr>
          <w:szCs w:val="20"/>
        </w:rPr>
        <w:t>)</w:t>
      </w:r>
      <w:r>
        <w:rPr>
          <w:szCs w:val="20"/>
        </w:rPr>
        <w:t>. F</w:t>
      </w:r>
      <w:r w:rsidR="00FE50CE" w:rsidRPr="00F4455B">
        <w:rPr>
          <w:szCs w:val="20"/>
        </w:rPr>
        <w:t xml:space="preserve">indings </w:t>
      </w:r>
      <w:r>
        <w:rPr>
          <w:szCs w:val="20"/>
        </w:rPr>
        <w:t xml:space="preserve">reveal continued disparities in usual source of care across </w:t>
      </w:r>
      <w:r w:rsidR="00020939">
        <w:rPr>
          <w:szCs w:val="20"/>
        </w:rPr>
        <w:t>race/ethnicity</w:t>
      </w:r>
      <w:r w:rsidR="00C56F67" w:rsidRPr="00F4455B">
        <w:rPr>
          <w:szCs w:val="20"/>
        </w:rPr>
        <w:t xml:space="preserve">, </w:t>
      </w:r>
      <w:r w:rsidR="00B821E4" w:rsidRPr="00F4455B">
        <w:rPr>
          <w:szCs w:val="20"/>
        </w:rPr>
        <w:t>immigration status</w:t>
      </w:r>
      <w:r w:rsidR="00C56F67" w:rsidRPr="00F4455B">
        <w:rPr>
          <w:szCs w:val="20"/>
        </w:rPr>
        <w:t xml:space="preserve">, </w:t>
      </w:r>
      <w:r w:rsidR="00CC26B2" w:rsidRPr="00F4455B">
        <w:rPr>
          <w:szCs w:val="20"/>
        </w:rPr>
        <w:t>income,</w:t>
      </w:r>
      <w:r w:rsidR="00FE50CE" w:rsidRPr="00F4455B">
        <w:rPr>
          <w:szCs w:val="20"/>
        </w:rPr>
        <w:t xml:space="preserve"> and</w:t>
      </w:r>
      <w:r w:rsidR="00C56F67" w:rsidRPr="00F4455B">
        <w:rPr>
          <w:szCs w:val="20"/>
        </w:rPr>
        <w:t xml:space="preserve"> insurance status. </w:t>
      </w:r>
      <w:r w:rsidR="00FE0FBA" w:rsidRPr="00F4455B">
        <w:rPr>
          <w:szCs w:val="20"/>
        </w:rPr>
        <w:t xml:space="preserve">Overall, lower-income, Hispanics, immigrants, and uninsured Texans are more likely than their counterparts to say they have no usual place for medical </w:t>
      </w:r>
      <w:r w:rsidR="00CC26B2" w:rsidRPr="00F4455B">
        <w:rPr>
          <w:szCs w:val="20"/>
        </w:rPr>
        <w:t>care,</w:t>
      </w:r>
      <w:r w:rsidR="00FE0FBA" w:rsidRPr="00F4455B">
        <w:rPr>
          <w:szCs w:val="20"/>
        </w:rPr>
        <w:t xml:space="preserve"> or they go to the emergency room. </w:t>
      </w:r>
      <w:r w:rsidR="00874046" w:rsidRPr="00F4455B">
        <w:rPr>
          <w:szCs w:val="20"/>
        </w:rPr>
        <w:t>Hispanic</w:t>
      </w:r>
      <w:r w:rsidR="004D5213">
        <w:rPr>
          <w:szCs w:val="20"/>
        </w:rPr>
        <w:t xml:space="preserve"> and</w:t>
      </w:r>
      <w:r w:rsidR="00874046" w:rsidRPr="00F4455B">
        <w:rPr>
          <w:szCs w:val="20"/>
        </w:rPr>
        <w:t xml:space="preserve"> immigrant</w:t>
      </w:r>
      <w:r w:rsidR="004D5213">
        <w:rPr>
          <w:szCs w:val="20"/>
        </w:rPr>
        <w:t xml:space="preserve"> adults </w:t>
      </w:r>
      <w:r w:rsidR="00874046" w:rsidRPr="00F4455B">
        <w:rPr>
          <w:szCs w:val="20"/>
        </w:rPr>
        <w:t>are also more likely to report receiving their medical care from a clinic or health center</w:t>
      </w:r>
      <w:r w:rsidR="000B4443">
        <w:rPr>
          <w:szCs w:val="20"/>
        </w:rPr>
        <w:t xml:space="preserve"> (Table 2)</w:t>
      </w:r>
      <w:r w:rsidR="004E234D">
        <w:rPr>
          <w:szCs w:val="20"/>
        </w:rPr>
        <w:t>.</w:t>
      </w:r>
    </w:p>
    <w:p w14:paraId="3AD072F5" w14:textId="2694EF2F" w:rsidR="00E22E17" w:rsidRDefault="00E22E17" w:rsidP="00A46A9E">
      <w:pPr>
        <w:contextualSpacing/>
        <w:rPr>
          <w:szCs w:val="20"/>
        </w:rPr>
      </w:pPr>
    </w:p>
    <w:p w14:paraId="781FB99A" w14:textId="290F5890" w:rsidR="00E22E17" w:rsidRDefault="00E22E17" w:rsidP="00E86D4F">
      <w:pPr>
        <w:tabs>
          <w:tab w:val="left" w:pos="9270"/>
        </w:tabs>
        <w:jc w:val="center"/>
      </w:pPr>
      <w:r>
        <w:rPr>
          <w:noProof/>
        </w:rPr>
        <w:drawing>
          <wp:inline distT="0" distB="0" distL="0" distR="0" wp14:anchorId="4CC54BA0" wp14:editId="6B530449">
            <wp:extent cx="5852160" cy="3673475"/>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3A0B111" w14:textId="337C26F1" w:rsidR="00C56F67" w:rsidRPr="00F4455B" w:rsidRDefault="00C56F67" w:rsidP="00A46A9E">
      <w:pPr>
        <w:pStyle w:val="Heading3"/>
      </w:pPr>
      <w:bookmarkStart w:id="17" w:name="_Toc95988999"/>
      <w:r w:rsidRPr="00F4455B">
        <w:lastRenderedPageBreak/>
        <w:t xml:space="preserve">Table </w:t>
      </w:r>
      <w:r w:rsidR="00FF7AEA">
        <w:t>2</w:t>
      </w:r>
      <w:r w:rsidRPr="00F4455B">
        <w:t>: Usual Source of Care for Texans</w:t>
      </w:r>
      <w:bookmarkEnd w:id="17"/>
    </w:p>
    <w:tbl>
      <w:tblPr>
        <w:tblW w:w="0" w:type="auto"/>
        <w:jc w:val="center"/>
        <w:tblBorders>
          <w:bottom w:val="single" w:sz="18" w:space="0" w:color="92D050" w:themeColor="accent3"/>
        </w:tblBorders>
        <w:tblLook w:val="04A0" w:firstRow="1" w:lastRow="0" w:firstColumn="1" w:lastColumn="0" w:noHBand="0" w:noVBand="1"/>
      </w:tblPr>
      <w:tblGrid>
        <w:gridCol w:w="1890"/>
        <w:gridCol w:w="856"/>
        <w:gridCol w:w="645"/>
        <w:gridCol w:w="913"/>
        <w:gridCol w:w="682"/>
        <w:gridCol w:w="900"/>
        <w:gridCol w:w="796"/>
        <w:gridCol w:w="796"/>
        <w:gridCol w:w="828"/>
        <w:gridCol w:w="1054"/>
      </w:tblGrid>
      <w:tr w:rsidR="0097136A" w:rsidRPr="00F4455B" w14:paraId="2F9AB2BB" w14:textId="77777777" w:rsidTr="0097136A">
        <w:trPr>
          <w:trHeight w:val="860"/>
          <w:jc w:val="center"/>
        </w:trPr>
        <w:tc>
          <w:tcPr>
            <w:tcW w:w="1890" w:type="dxa"/>
            <w:vMerge w:val="restart"/>
            <w:tcBorders>
              <w:bottom w:val="single" w:sz="2" w:space="0" w:color="FFFFFF" w:themeColor="background1"/>
              <w:right w:val="single" w:sz="2" w:space="0" w:color="FFFFFF" w:themeColor="background1"/>
            </w:tcBorders>
            <w:shd w:val="clear" w:color="auto" w:fill="20A5E8" w:themeFill="accent1"/>
            <w:noWrap/>
            <w:vAlign w:val="center"/>
            <w:hideMark/>
          </w:tcPr>
          <w:p w14:paraId="56B5C1A0" w14:textId="51D5D3C9" w:rsidR="00670688" w:rsidRPr="00B30ADA" w:rsidRDefault="00670688" w:rsidP="00A46A9E">
            <w:pPr>
              <w:spacing w:after="0" w:line="240" w:lineRule="auto"/>
              <w:rPr>
                <w:rFonts w:ascii="Segoe UI Semibold" w:hAnsi="Segoe UI Semibold" w:cs="Segoe UI Semibold"/>
                <w:color w:val="FFFFFF"/>
                <w:sz w:val="16"/>
                <w:szCs w:val="16"/>
              </w:rPr>
            </w:pPr>
          </w:p>
        </w:tc>
        <w:tc>
          <w:tcPr>
            <w:tcW w:w="2418" w:type="dxa"/>
            <w:gridSpan w:val="3"/>
            <w:tcBorders>
              <w:left w:val="single" w:sz="2" w:space="0" w:color="FFFFFF" w:themeColor="background1"/>
              <w:bottom w:val="single" w:sz="2" w:space="0" w:color="FFFFFF" w:themeColor="background1"/>
              <w:right w:val="single" w:sz="2" w:space="0" w:color="FFFFFF" w:themeColor="background1"/>
            </w:tcBorders>
            <w:shd w:val="clear" w:color="auto" w:fill="20A5E8" w:themeFill="accent1"/>
            <w:vAlign w:val="center"/>
          </w:tcPr>
          <w:p w14:paraId="16B3DD02" w14:textId="295A583A" w:rsidR="00670688" w:rsidRPr="00B30ADA" w:rsidRDefault="00670688" w:rsidP="00B601CF">
            <w:pPr>
              <w:spacing w:after="0" w:line="240" w:lineRule="auto"/>
              <w:jc w:val="center"/>
              <w:rPr>
                <w:rFonts w:ascii="Segoe UI Semibold" w:hAnsi="Segoe UI Semibold" w:cs="Segoe UI Semibold"/>
                <w:color w:val="FFFFFF"/>
                <w:szCs w:val="20"/>
              </w:rPr>
            </w:pPr>
            <w:r w:rsidRPr="00B30ADA">
              <w:rPr>
                <w:rFonts w:ascii="Segoe UI Semibold" w:hAnsi="Segoe UI Semibold" w:cs="Segoe UI Semibold"/>
                <w:color w:val="FFFFFF"/>
                <w:szCs w:val="20"/>
              </w:rPr>
              <w:t>RACE/ETHNICITY</w:t>
            </w:r>
          </w:p>
        </w:tc>
        <w:tc>
          <w:tcPr>
            <w:tcW w:w="0" w:type="auto"/>
            <w:gridSpan w:val="2"/>
            <w:tcBorders>
              <w:left w:val="single" w:sz="2" w:space="0" w:color="FFFFFF" w:themeColor="background1"/>
              <w:bottom w:val="single" w:sz="2" w:space="0" w:color="FFFFFF" w:themeColor="background1"/>
              <w:right w:val="single" w:sz="2" w:space="0" w:color="FFFFFF" w:themeColor="background1"/>
            </w:tcBorders>
            <w:shd w:val="clear" w:color="auto" w:fill="20A5E8" w:themeFill="accent1"/>
            <w:vAlign w:val="center"/>
          </w:tcPr>
          <w:p w14:paraId="3551E028" w14:textId="42272E4E" w:rsidR="00670688" w:rsidRPr="00B30ADA" w:rsidRDefault="00670688" w:rsidP="00B601CF">
            <w:pPr>
              <w:spacing w:after="0" w:line="240" w:lineRule="auto"/>
              <w:jc w:val="center"/>
              <w:rPr>
                <w:rFonts w:ascii="Segoe UI Semibold" w:hAnsi="Segoe UI Semibold" w:cs="Segoe UI Semibold"/>
                <w:color w:val="FFFFFF"/>
                <w:szCs w:val="20"/>
              </w:rPr>
            </w:pPr>
            <w:r w:rsidRPr="00B30ADA">
              <w:rPr>
                <w:rFonts w:ascii="Segoe UI Semibold" w:hAnsi="Segoe UI Semibold" w:cs="Segoe UI Semibold"/>
                <w:color w:val="FFFFFF"/>
                <w:szCs w:val="20"/>
              </w:rPr>
              <w:t>IMMIGRATION STATUS</w:t>
            </w:r>
          </w:p>
        </w:tc>
        <w:tc>
          <w:tcPr>
            <w:tcW w:w="0" w:type="auto"/>
            <w:gridSpan w:val="2"/>
            <w:tcBorders>
              <w:left w:val="single" w:sz="2" w:space="0" w:color="FFFFFF" w:themeColor="background1"/>
              <w:bottom w:val="single" w:sz="2" w:space="0" w:color="FFFFFF" w:themeColor="background1"/>
              <w:right w:val="single" w:sz="2" w:space="0" w:color="FFFFFF" w:themeColor="background1"/>
            </w:tcBorders>
            <w:shd w:val="clear" w:color="auto" w:fill="20A5E8" w:themeFill="accent1"/>
            <w:vAlign w:val="center"/>
          </w:tcPr>
          <w:p w14:paraId="3D44BCE1" w14:textId="36BC2A0D" w:rsidR="00670688" w:rsidRPr="00B30ADA" w:rsidRDefault="00670688" w:rsidP="00B601CF">
            <w:pPr>
              <w:spacing w:after="0" w:line="240" w:lineRule="auto"/>
              <w:jc w:val="center"/>
              <w:rPr>
                <w:rFonts w:ascii="Segoe UI Semibold" w:hAnsi="Segoe UI Semibold" w:cs="Segoe UI Semibold"/>
                <w:color w:val="FFFFFF"/>
                <w:szCs w:val="20"/>
              </w:rPr>
            </w:pPr>
            <w:r w:rsidRPr="00B30ADA">
              <w:rPr>
                <w:rFonts w:ascii="Segoe UI Semibold" w:hAnsi="Segoe UI Semibold" w:cs="Segoe UI Semibold"/>
                <w:color w:val="FFFFFF"/>
                <w:szCs w:val="20"/>
              </w:rPr>
              <w:t>INCOME</w:t>
            </w:r>
          </w:p>
        </w:tc>
        <w:tc>
          <w:tcPr>
            <w:tcW w:w="0" w:type="auto"/>
            <w:gridSpan w:val="2"/>
            <w:tcBorders>
              <w:left w:val="single" w:sz="2" w:space="0" w:color="FFFFFF" w:themeColor="background1"/>
              <w:bottom w:val="single" w:sz="2" w:space="0" w:color="FFFFFF" w:themeColor="background1"/>
            </w:tcBorders>
            <w:shd w:val="clear" w:color="auto" w:fill="20A5E8" w:themeFill="accent1"/>
            <w:vAlign w:val="center"/>
          </w:tcPr>
          <w:p w14:paraId="28050271" w14:textId="11260D9E" w:rsidR="0097136A" w:rsidRPr="00B30ADA" w:rsidRDefault="00670688" w:rsidP="00B601CF">
            <w:pPr>
              <w:spacing w:after="0" w:line="240" w:lineRule="auto"/>
              <w:jc w:val="center"/>
              <w:rPr>
                <w:rFonts w:ascii="Segoe UI Semibold" w:hAnsi="Segoe UI Semibold" w:cs="Segoe UI Semibold"/>
                <w:color w:val="FFFFFF"/>
                <w:szCs w:val="20"/>
              </w:rPr>
            </w:pPr>
            <w:r w:rsidRPr="00B30ADA">
              <w:rPr>
                <w:rFonts w:ascii="Segoe UI Semibold" w:hAnsi="Segoe UI Semibold" w:cs="Segoe UI Semibold"/>
                <w:color w:val="FFFFFF"/>
                <w:szCs w:val="20"/>
              </w:rPr>
              <w:t>INSURANCE STATUS</w:t>
            </w:r>
          </w:p>
          <w:p w14:paraId="1FFFB3A0" w14:textId="5F7509C7" w:rsidR="00670688" w:rsidRPr="00B30ADA" w:rsidRDefault="00670688" w:rsidP="00B601CF">
            <w:pPr>
              <w:spacing w:after="0" w:line="240" w:lineRule="auto"/>
              <w:jc w:val="center"/>
              <w:rPr>
                <w:rFonts w:ascii="Segoe UI Semibold" w:hAnsi="Segoe UI Semibold" w:cs="Segoe UI Semibold"/>
                <w:color w:val="FFFFFF"/>
                <w:szCs w:val="20"/>
              </w:rPr>
            </w:pPr>
            <w:r w:rsidRPr="00B30ADA">
              <w:rPr>
                <w:rFonts w:ascii="Segoe UI Semibold" w:hAnsi="Segoe UI Semibold" w:cs="Segoe UI Semibold"/>
                <w:color w:val="FFFFFF"/>
                <w:szCs w:val="20"/>
              </w:rPr>
              <w:t>(NON</w:t>
            </w:r>
            <w:r w:rsidR="0097136A" w:rsidRPr="00B30ADA">
              <w:rPr>
                <w:rFonts w:ascii="Segoe UI Semibold" w:hAnsi="Segoe UI Semibold" w:cs="Segoe UI Semibold"/>
                <w:color w:val="FFFFFF"/>
                <w:szCs w:val="20"/>
              </w:rPr>
              <w:t>-</w:t>
            </w:r>
            <w:r w:rsidRPr="00B30ADA">
              <w:rPr>
                <w:rFonts w:ascii="Segoe UI Semibold" w:hAnsi="Segoe UI Semibold" w:cs="Segoe UI Semibold"/>
                <w:color w:val="FFFFFF"/>
                <w:szCs w:val="20"/>
              </w:rPr>
              <w:t>ELDERLY)</w:t>
            </w:r>
          </w:p>
        </w:tc>
      </w:tr>
      <w:tr w:rsidR="0097136A" w:rsidRPr="00F4455B" w14:paraId="23ABEBC0" w14:textId="77777777" w:rsidTr="0097136A">
        <w:trPr>
          <w:trHeight w:val="615"/>
          <w:jc w:val="center"/>
        </w:trPr>
        <w:tc>
          <w:tcPr>
            <w:tcW w:w="1890" w:type="dxa"/>
            <w:vMerge/>
            <w:tcBorders>
              <w:top w:val="single" w:sz="2" w:space="0" w:color="FFFFFF" w:themeColor="background1"/>
              <w:bottom w:val="nil"/>
              <w:right w:val="single" w:sz="2" w:space="0" w:color="FFFFFF" w:themeColor="background1"/>
            </w:tcBorders>
            <w:shd w:val="clear" w:color="auto" w:fill="20A5E8" w:themeFill="accent1"/>
            <w:noWrap/>
            <w:vAlign w:val="center"/>
          </w:tcPr>
          <w:p w14:paraId="5CC76CD9" w14:textId="77777777" w:rsidR="00670688" w:rsidRPr="00B30ADA" w:rsidRDefault="00670688" w:rsidP="00A46A9E">
            <w:pPr>
              <w:spacing w:after="0" w:line="240" w:lineRule="auto"/>
              <w:rPr>
                <w:rFonts w:ascii="Segoe UI Semibold" w:hAnsi="Segoe UI Semibold" w:cs="Segoe UI Semibold"/>
                <w:color w:val="FFFFFF"/>
                <w:sz w:val="16"/>
                <w:szCs w:val="16"/>
              </w:rPr>
            </w:pPr>
          </w:p>
        </w:tc>
        <w:tc>
          <w:tcPr>
            <w:tcW w:w="855" w:type="dxa"/>
            <w:tcBorders>
              <w:top w:val="single" w:sz="2" w:space="0" w:color="FFFFFF" w:themeColor="background1"/>
              <w:left w:val="single" w:sz="2" w:space="0" w:color="FFFFFF" w:themeColor="background1"/>
              <w:bottom w:val="nil"/>
              <w:right w:val="single" w:sz="2" w:space="0" w:color="FFFFFF" w:themeColor="background1"/>
            </w:tcBorders>
            <w:shd w:val="clear" w:color="auto" w:fill="20A5E8" w:themeFill="accent1"/>
            <w:vAlign w:val="center"/>
          </w:tcPr>
          <w:p w14:paraId="69A7B485" w14:textId="2FBC34AF" w:rsidR="00670688" w:rsidRPr="00B30ADA" w:rsidRDefault="00670688" w:rsidP="00A46A9E">
            <w:pPr>
              <w:spacing w:after="0" w:line="240" w:lineRule="auto"/>
              <w:rPr>
                <w:rFonts w:ascii="Segoe UI Semibold" w:hAnsi="Segoe UI Semibold" w:cs="Segoe UI Semibold"/>
                <w:color w:val="FFFFFF"/>
                <w:sz w:val="18"/>
                <w:szCs w:val="18"/>
              </w:rPr>
            </w:pPr>
            <w:r w:rsidRPr="00B30ADA">
              <w:rPr>
                <w:rFonts w:ascii="Segoe UI Semibold" w:hAnsi="Segoe UI Semibold" w:cs="Segoe UI Semibold"/>
                <w:color w:val="FFFFFF"/>
                <w:sz w:val="18"/>
                <w:szCs w:val="18"/>
              </w:rPr>
              <w:t>White</w:t>
            </w:r>
          </w:p>
        </w:tc>
        <w:tc>
          <w:tcPr>
            <w:tcW w:w="0" w:type="auto"/>
            <w:tcBorders>
              <w:top w:val="single" w:sz="2" w:space="0" w:color="FFFFFF" w:themeColor="background1"/>
              <w:left w:val="single" w:sz="2" w:space="0" w:color="FFFFFF" w:themeColor="background1"/>
              <w:bottom w:val="nil"/>
              <w:right w:val="single" w:sz="2" w:space="0" w:color="FFFFFF" w:themeColor="background1"/>
            </w:tcBorders>
            <w:shd w:val="clear" w:color="auto" w:fill="20A5E8" w:themeFill="accent1"/>
            <w:vAlign w:val="center"/>
          </w:tcPr>
          <w:p w14:paraId="61C53D89" w14:textId="7ECF5E94" w:rsidR="00670688" w:rsidRPr="00B30ADA" w:rsidRDefault="00670688" w:rsidP="00947FA0">
            <w:pPr>
              <w:spacing w:after="0" w:line="240" w:lineRule="auto"/>
              <w:jc w:val="center"/>
              <w:rPr>
                <w:rFonts w:ascii="Segoe UI Semibold" w:hAnsi="Segoe UI Semibold" w:cs="Segoe UI Semibold"/>
                <w:color w:val="FFFFFF"/>
                <w:sz w:val="18"/>
                <w:szCs w:val="18"/>
              </w:rPr>
            </w:pPr>
            <w:r w:rsidRPr="00B30ADA">
              <w:rPr>
                <w:rFonts w:ascii="Segoe UI Semibold" w:hAnsi="Segoe UI Semibold" w:cs="Segoe UI Semibold"/>
                <w:color w:val="FFFFFF"/>
                <w:sz w:val="18"/>
                <w:szCs w:val="18"/>
              </w:rPr>
              <w:t>Black</w:t>
            </w:r>
          </w:p>
        </w:tc>
        <w:tc>
          <w:tcPr>
            <w:tcW w:w="0" w:type="auto"/>
            <w:tcBorders>
              <w:top w:val="single" w:sz="2" w:space="0" w:color="FFFFFF" w:themeColor="background1"/>
              <w:left w:val="single" w:sz="2" w:space="0" w:color="FFFFFF" w:themeColor="background1"/>
              <w:bottom w:val="nil"/>
              <w:right w:val="single" w:sz="2" w:space="0" w:color="FFFFFF" w:themeColor="background1"/>
            </w:tcBorders>
            <w:shd w:val="clear" w:color="auto" w:fill="20A5E8" w:themeFill="accent1"/>
            <w:vAlign w:val="center"/>
          </w:tcPr>
          <w:p w14:paraId="66D6AE33" w14:textId="2B36E165" w:rsidR="00670688" w:rsidRPr="00B30ADA" w:rsidRDefault="00670688" w:rsidP="00947FA0">
            <w:pPr>
              <w:spacing w:after="0" w:line="240" w:lineRule="auto"/>
              <w:jc w:val="center"/>
              <w:rPr>
                <w:rFonts w:ascii="Segoe UI Semibold" w:hAnsi="Segoe UI Semibold" w:cs="Segoe UI Semibold"/>
                <w:color w:val="FFFFFF"/>
                <w:sz w:val="18"/>
                <w:szCs w:val="18"/>
              </w:rPr>
            </w:pPr>
            <w:r w:rsidRPr="00B30ADA">
              <w:rPr>
                <w:rFonts w:ascii="Segoe UI Semibold" w:hAnsi="Segoe UI Semibold" w:cs="Segoe UI Semibold"/>
                <w:color w:val="FFFFFF"/>
                <w:sz w:val="18"/>
                <w:szCs w:val="18"/>
              </w:rPr>
              <w:t>Hispanic</w:t>
            </w:r>
          </w:p>
        </w:tc>
        <w:tc>
          <w:tcPr>
            <w:tcW w:w="0" w:type="auto"/>
            <w:tcBorders>
              <w:top w:val="single" w:sz="2" w:space="0" w:color="FFFFFF" w:themeColor="background1"/>
              <w:left w:val="single" w:sz="2" w:space="0" w:color="FFFFFF" w:themeColor="background1"/>
              <w:bottom w:val="nil"/>
              <w:right w:val="single" w:sz="2" w:space="0" w:color="FFFFFF" w:themeColor="background1"/>
            </w:tcBorders>
            <w:shd w:val="clear" w:color="auto" w:fill="20A5E8" w:themeFill="accent1"/>
            <w:vAlign w:val="center"/>
          </w:tcPr>
          <w:p w14:paraId="54E5B6EA" w14:textId="7BC61B74" w:rsidR="00670688" w:rsidRPr="00B30ADA" w:rsidRDefault="00670688" w:rsidP="00947FA0">
            <w:pPr>
              <w:spacing w:after="0" w:line="240" w:lineRule="auto"/>
              <w:jc w:val="center"/>
              <w:rPr>
                <w:rFonts w:ascii="Segoe UI Semibold" w:hAnsi="Segoe UI Semibold" w:cs="Segoe UI Semibold"/>
                <w:color w:val="FFFFFF"/>
                <w:sz w:val="18"/>
                <w:szCs w:val="18"/>
              </w:rPr>
            </w:pPr>
            <w:r w:rsidRPr="00B30ADA">
              <w:rPr>
                <w:rFonts w:ascii="Segoe UI Semibold" w:hAnsi="Segoe UI Semibold" w:cs="Segoe UI Semibold"/>
                <w:color w:val="FFFFFF"/>
                <w:sz w:val="18"/>
                <w:szCs w:val="18"/>
              </w:rPr>
              <w:t>U.S. born</w:t>
            </w:r>
          </w:p>
        </w:tc>
        <w:tc>
          <w:tcPr>
            <w:tcW w:w="0" w:type="auto"/>
            <w:tcBorders>
              <w:top w:val="single" w:sz="2" w:space="0" w:color="FFFFFF" w:themeColor="background1"/>
              <w:left w:val="single" w:sz="2" w:space="0" w:color="FFFFFF" w:themeColor="background1"/>
              <w:bottom w:val="nil"/>
              <w:right w:val="single" w:sz="2" w:space="0" w:color="FFFFFF" w:themeColor="background1"/>
            </w:tcBorders>
            <w:shd w:val="clear" w:color="auto" w:fill="20A5E8" w:themeFill="accent1"/>
            <w:vAlign w:val="center"/>
          </w:tcPr>
          <w:p w14:paraId="0BA7076D" w14:textId="2EEC68C2" w:rsidR="00670688" w:rsidRPr="00B30ADA" w:rsidRDefault="00670688" w:rsidP="00947FA0">
            <w:pPr>
              <w:spacing w:after="0" w:line="240" w:lineRule="auto"/>
              <w:jc w:val="center"/>
              <w:rPr>
                <w:rFonts w:ascii="Segoe UI Semibold" w:hAnsi="Segoe UI Semibold" w:cs="Segoe UI Semibold"/>
                <w:color w:val="FFFFFF"/>
                <w:sz w:val="18"/>
                <w:szCs w:val="18"/>
              </w:rPr>
            </w:pPr>
            <w:r w:rsidRPr="00B30ADA">
              <w:rPr>
                <w:rFonts w:ascii="Segoe UI Semibold" w:hAnsi="Segoe UI Semibold" w:cs="Segoe UI Semibold"/>
                <w:color w:val="FFFFFF"/>
                <w:sz w:val="18"/>
                <w:szCs w:val="18"/>
              </w:rPr>
              <w:t>Foreign born</w:t>
            </w:r>
          </w:p>
        </w:tc>
        <w:tc>
          <w:tcPr>
            <w:tcW w:w="0" w:type="auto"/>
            <w:tcBorders>
              <w:top w:val="single" w:sz="2" w:space="0" w:color="FFFFFF" w:themeColor="background1"/>
              <w:left w:val="single" w:sz="2" w:space="0" w:color="FFFFFF" w:themeColor="background1"/>
              <w:bottom w:val="nil"/>
              <w:right w:val="single" w:sz="2" w:space="0" w:color="FFFFFF" w:themeColor="background1"/>
            </w:tcBorders>
            <w:shd w:val="clear" w:color="auto" w:fill="20A5E8" w:themeFill="accent1"/>
            <w:vAlign w:val="center"/>
          </w:tcPr>
          <w:p w14:paraId="752FD854" w14:textId="6C2D0128" w:rsidR="00670688" w:rsidRPr="00B30ADA" w:rsidRDefault="00670688" w:rsidP="00947FA0">
            <w:pPr>
              <w:spacing w:after="0" w:line="240" w:lineRule="auto"/>
              <w:jc w:val="center"/>
              <w:rPr>
                <w:rFonts w:ascii="Segoe UI Semibold" w:hAnsi="Segoe UI Semibold" w:cs="Segoe UI Semibold"/>
                <w:color w:val="FFFFFF"/>
                <w:sz w:val="18"/>
                <w:szCs w:val="18"/>
              </w:rPr>
            </w:pPr>
            <w:r w:rsidRPr="00B30ADA">
              <w:rPr>
                <w:rFonts w:ascii="Segoe UI Semibold" w:hAnsi="Segoe UI Semibold" w:cs="Segoe UI Semibold"/>
                <w:color w:val="FFFFFF"/>
                <w:sz w:val="18"/>
                <w:szCs w:val="18"/>
              </w:rPr>
              <w:t>&lt;250% FPL</w:t>
            </w:r>
          </w:p>
        </w:tc>
        <w:tc>
          <w:tcPr>
            <w:tcW w:w="0" w:type="auto"/>
            <w:tcBorders>
              <w:top w:val="single" w:sz="2" w:space="0" w:color="FFFFFF" w:themeColor="background1"/>
              <w:left w:val="single" w:sz="2" w:space="0" w:color="FFFFFF" w:themeColor="background1"/>
              <w:bottom w:val="nil"/>
              <w:right w:val="single" w:sz="2" w:space="0" w:color="FFFFFF" w:themeColor="background1"/>
            </w:tcBorders>
            <w:shd w:val="clear" w:color="auto" w:fill="20A5E8" w:themeFill="accent1"/>
            <w:vAlign w:val="center"/>
          </w:tcPr>
          <w:p w14:paraId="478AFBFC" w14:textId="1592561E" w:rsidR="00670688" w:rsidRPr="00B30ADA" w:rsidRDefault="00670688" w:rsidP="00947FA0">
            <w:pPr>
              <w:spacing w:after="0" w:line="240" w:lineRule="auto"/>
              <w:jc w:val="center"/>
              <w:rPr>
                <w:rFonts w:ascii="Segoe UI Semibold" w:hAnsi="Segoe UI Semibold" w:cs="Segoe UI Semibold"/>
                <w:color w:val="FFFFFF"/>
                <w:sz w:val="18"/>
                <w:szCs w:val="18"/>
              </w:rPr>
            </w:pPr>
            <w:r w:rsidRPr="00B30ADA">
              <w:rPr>
                <w:rFonts w:ascii="Segoe UI Semibold" w:hAnsi="Segoe UI Semibold" w:cs="Segoe UI Semibold"/>
                <w:color w:val="FFFFFF"/>
                <w:sz w:val="18"/>
                <w:szCs w:val="18"/>
              </w:rPr>
              <w:t>250%+ FPL</w:t>
            </w:r>
          </w:p>
        </w:tc>
        <w:tc>
          <w:tcPr>
            <w:tcW w:w="0" w:type="auto"/>
            <w:tcBorders>
              <w:top w:val="single" w:sz="2" w:space="0" w:color="FFFFFF" w:themeColor="background1"/>
              <w:left w:val="single" w:sz="2" w:space="0" w:color="FFFFFF" w:themeColor="background1"/>
              <w:bottom w:val="nil"/>
              <w:right w:val="single" w:sz="2" w:space="0" w:color="FFFFFF" w:themeColor="background1"/>
            </w:tcBorders>
            <w:shd w:val="clear" w:color="auto" w:fill="20A5E8" w:themeFill="accent1"/>
            <w:noWrap/>
            <w:vAlign w:val="center"/>
          </w:tcPr>
          <w:p w14:paraId="790158DE" w14:textId="316C0D9B" w:rsidR="00670688" w:rsidRPr="00B30ADA" w:rsidRDefault="00670688" w:rsidP="00947FA0">
            <w:pPr>
              <w:spacing w:after="0" w:line="240" w:lineRule="auto"/>
              <w:jc w:val="center"/>
              <w:rPr>
                <w:rFonts w:ascii="Segoe UI Semibold" w:hAnsi="Segoe UI Semibold" w:cs="Segoe UI Semibold"/>
                <w:color w:val="FFFFFF"/>
                <w:sz w:val="18"/>
                <w:szCs w:val="18"/>
              </w:rPr>
            </w:pPr>
            <w:r w:rsidRPr="00B30ADA">
              <w:rPr>
                <w:rFonts w:ascii="Segoe UI Semibold" w:hAnsi="Segoe UI Semibold" w:cs="Segoe UI Semibold"/>
                <w:color w:val="FFFFFF"/>
                <w:sz w:val="18"/>
                <w:szCs w:val="18"/>
              </w:rPr>
              <w:t>Insured</w:t>
            </w:r>
          </w:p>
        </w:tc>
        <w:tc>
          <w:tcPr>
            <w:tcW w:w="0" w:type="auto"/>
            <w:tcBorders>
              <w:top w:val="single" w:sz="2" w:space="0" w:color="FFFFFF" w:themeColor="background1"/>
              <w:left w:val="single" w:sz="2" w:space="0" w:color="FFFFFF" w:themeColor="background1"/>
              <w:bottom w:val="nil"/>
            </w:tcBorders>
            <w:shd w:val="clear" w:color="auto" w:fill="20A5E8" w:themeFill="accent1"/>
            <w:vAlign w:val="center"/>
          </w:tcPr>
          <w:p w14:paraId="00179496" w14:textId="38C6C34F" w:rsidR="00670688" w:rsidRPr="00B30ADA" w:rsidRDefault="00670688" w:rsidP="00947FA0">
            <w:pPr>
              <w:spacing w:after="0" w:line="240" w:lineRule="auto"/>
              <w:jc w:val="center"/>
              <w:rPr>
                <w:rFonts w:ascii="Segoe UI Semibold" w:hAnsi="Segoe UI Semibold" w:cs="Segoe UI Semibold"/>
                <w:color w:val="FFFFFF"/>
                <w:sz w:val="18"/>
                <w:szCs w:val="18"/>
              </w:rPr>
            </w:pPr>
            <w:r w:rsidRPr="00B30ADA">
              <w:rPr>
                <w:rFonts w:ascii="Segoe UI Semibold" w:hAnsi="Segoe UI Semibold" w:cs="Segoe UI Semibold"/>
                <w:color w:val="FFFFFF"/>
                <w:sz w:val="18"/>
                <w:szCs w:val="18"/>
              </w:rPr>
              <w:t>Uninsured</w:t>
            </w:r>
          </w:p>
        </w:tc>
      </w:tr>
      <w:tr w:rsidR="0097136A" w:rsidRPr="00F4455B" w14:paraId="5DD49885" w14:textId="77777777" w:rsidTr="0097136A">
        <w:trPr>
          <w:trHeight w:val="392"/>
          <w:jc w:val="center"/>
        </w:trPr>
        <w:tc>
          <w:tcPr>
            <w:tcW w:w="1890" w:type="dxa"/>
            <w:tcBorders>
              <w:top w:val="nil"/>
              <w:bottom w:val="single" w:sz="2" w:space="0" w:color="BFBFBF" w:themeColor="background1" w:themeShade="BF"/>
            </w:tcBorders>
            <w:shd w:val="clear" w:color="auto" w:fill="444444" w:themeFill="text1" w:themeFillTint="E6"/>
            <w:noWrap/>
            <w:vAlign w:val="center"/>
          </w:tcPr>
          <w:p w14:paraId="157FF381" w14:textId="10530B8E" w:rsidR="00670688" w:rsidRPr="0097136A" w:rsidRDefault="00670688" w:rsidP="00947FA0">
            <w:pPr>
              <w:spacing w:after="0" w:line="240" w:lineRule="auto"/>
              <w:jc w:val="right"/>
              <w:rPr>
                <w:rFonts w:ascii="Segoe UI Semibold" w:hAnsi="Segoe UI Semibold" w:cs="Segoe UI Semibold"/>
                <w:bCs/>
                <w:color w:val="FFFFFF" w:themeColor="background1"/>
                <w:szCs w:val="20"/>
              </w:rPr>
            </w:pPr>
            <w:r w:rsidRPr="0097136A">
              <w:rPr>
                <w:rFonts w:ascii="Segoe UI Semibold" w:hAnsi="Segoe UI Semibold" w:cs="Segoe UI Semibold"/>
                <w:bCs/>
                <w:color w:val="FFFFFF" w:themeColor="background1"/>
                <w:szCs w:val="20"/>
              </w:rPr>
              <w:t>NET Have a usual place for medical care (not ER)</w:t>
            </w:r>
          </w:p>
        </w:tc>
        <w:tc>
          <w:tcPr>
            <w:tcW w:w="855" w:type="dxa"/>
            <w:tcBorders>
              <w:top w:val="nil"/>
              <w:bottom w:val="single" w:sz="2" w:space="0" w:color="BFBFBF" w:themeColor="background1" w:themeShade="BF"/>
            </w:tcBorders>
            <w:shd w:val="clear" w:color="auto" w:fill="D9D9D9" w:themeFill="background1" w:themeFillShade="D9"/>
            <w:vAlign w:val="center"/>
          </w:tcPr>
          <w:p w14:paraId="68AD594D" w14:textId="204CEEA5" w:rsidR="00670688" w:rsidRPr="00755787" w:rsidRDefault="00670688" w:rsidP="00947FA0">
            <w:pPr>
              <w:spacing w:after="0" w:line="240" w:lineRule="auto"/>
              <w:jc w:val="center"/>
              <w:rPr>
                <w:rFonts w:ascii="Segoe UI Semibold" w:hAnsi="Segoe UI Semibold" w:cs="Segoe UI Semibold"/>
                <w:bCs/>
                <w:szCs w:val="20"/>
              </w:rPr>
            </w:pPr>
            <w:r w:rsidRPr="00755787">
              <w:rPr>
                <w:rFonts w:ascii="Segoe UI Semibold" w:hAnsi="Segoe UI Semibold" w:cs="Segoe UI Semibold"/>
                <w:bCs/>
                <w:szCs w:val="20"/>
              </w:rPr>
              <w:t>7</w:t>
            </w:r>
            <w:r w:rsidR="0061175F">
              <w:rPr>
                <w:rFonts w:ascii="Segoe UI Semibold" w:hAnsi="Segoe UI Semibold" w:cs="Segoe UI Semibold"/>
                <w:bCs/>
                <w:szCs w:val="20"/>
              </w:rPr>
              <w:t>9</w:t>
            </w:r>
            <w:r w:rsidRPr="00755787">
              <w:rPr>
                <w:rFonts w:ascii="Segoe UI Semibold" w:hAnsi="Segoe UI Semibold" w:cs="Segoe UI Semibold"/>
                <w:bCs/>
                <w:szCs w:val="20"/>
              </w:rPr>
              <w:t>%</w:t>
            </w:r>
          </w:p>
        </w:tc>
        <w:tc>
          <w:tcPr>
            <w:tcW w:w="0" w:type="auto"/>
            <w:tcBorders>
              <w:top w:val="nil"/>
              <w:bottom w:val="single" w:sz="2" w:space="0" w:color="BFBFBF" w:themeColor="background1" w:themeShade="BF"/>
            </w:tcBorders>
            <w:shd w:val="clear" w:color="auto" w:fill="D9D9D9" w:themeFill="background1" w:themeFillShade="D9"/>
            <w:vAlign w:val="center"/>
          </w:tcPr>
          <w:p w14:paraId="5D47DD13" w14:textId="410BA584" w:rsidR="00670688" w:rsidRPr="00755787" w:rsidRDefault="00670688" w:rsidP="00947FA0">
            <w:pPr>
              <w:spacing w:after="0" w:line="240" w:lineRule="auto"/>
              <w:jc w:val="center"/>
              <w:rPr>
                <w:rFonts w:ascii="Segoe UI Semibold" w:hAnsi="Segoe UI Semibold" w:cs="Segoe UI Semibold"/>
                <w:bCs/>
                <w:szCs w:val="20"/>
              </w:rPr>
            </w:pPr>
            <w:r w:rsidRPr="00755787">
              <w:rPr>
                <w:rFonts w:ascii="Segoe UI Semibold" w:hAnsi="Segoe UI Semibold" w:cs="Segoe UI Semibold"/>
                <w:bCs/>
                <w:szCs w:val="20"/>
              </w:rPr>
              <w:t>7</w:t>
            </w:r>
            <w:r w:rsidR="0061175F">
              <w:rPr>
                <w:rFonts w:ascii="Segoe UI Semibold" w:hAnsi="Segoe UI Semibold" w:cs="Segoe UI Semibold"/>
                <w:bCs/>
                <w:szCs w:val="20"/>
              </w:rPr>
              <w:t>7</w:t>
            </w:r>
            <w:r w:rsidRPr="00755787">
              <w:rPr>
                <w:rFonts w:ascii="Segoe UI Semibold" w:hAnsi="Segoe UI Semibold" w:cs="Segoe UI Semibold"/>
                <w:bCs/>
                <w:szCs w:val="20"/>
              </w:rPr>
              <w:t>%</w:t>
            </w:r>
          </w:p>
        </w:tc>
        <w:tc>
          <w:tcPr>
            <w:tcW w:w="0" w:type="auto"/>
            <w:tcBorders>
              <w:top w:val="nil"/>
              <w:bottom w:val="single" w:sz="2" w:space="0" w:color="BFBFBF" w:themeColor="background1" w:themeShade="BF"/>
            </w:tcBorders>
            <w:shd w:val="clear" w:color="auto" w:fill="D9D9D9" w:themeFill="background1" w:themeFillShade="D9"/>
            <w:vAlign w:val="center"/>
          </w:tcPr>
          <w:p w14:paraId="28F916A4" w14:textId="2123413C" w:rsidR="00670688" w:rsidRPr="00755787" w:rsidRDefault="0061175F" w:rsidP="00947FA0">
            <w:pPr>
              <w:spacing w:after="0" w:line="240" w:lineRule="auto"/>
              <w:jc w:val="center"/>
              <w:rPr>
                <w:rFonts w:ascii="Segoe UI Semibold" w:hAnsi="Segoe UI Semibold" w:cs="Segoe UI Semibold"/>
                <w:bCs/>
                <w:szCs w:val="20"/>
              </w:rPr>
            </w:pPr>
            <w:r>
              <w:rPr>
                <w:rFonts w:ascii="Segoe UI Semibold" w:hAnsi="Segoe UI Semibold" w:cs="Segoe UI Semibold"/>
                <w:bCs/>
                <w:szCs w:val="20"/>
              </w:rPr>
              <w:t>60</w:t>
            </w:r>
            <w:r w:rsidR="00670688" w:rsidRPr="00755787">
              <w:rPr>
                <w:rFonts w:ascii="Segoe UI Semibold" w:hAnsi="Segoe UI Semibold" w:cs="Segoe UI Semibold"/>
                <w:bCs/>
                <w:szCs w:val="20"/>
              </w:rPr>
              <w:t>%</w:t>
            </w:r>
          </w:p>
        </w:tc>
        <w:tc>
          <w:tcPr>
            <w:tcW w:w="0" w:type="auto"/>
            <w:tcBorders>
              <w:top w:val="nil"/>
              <w:bottom w:val="single" w:sz="2" w:space="0" w:color="BFBFBF" w:themeColor="background1" w:themeShade="BF"/>
            </w:tcBorders>
            <w:shd w:val="clear" w:color="auto" w:fill="D9D9D9" w:themeFill="background1" w:themeFillShade="D9"/>
            <w:vAlign w:val="center"/>
          </w:tcPr>
          <w:p w14:paraId="76E66B44" w14:textId="3875FC3C" w:rsidR="00670688" w:rsidRPr="00755787" w:rsidRDefault="00670688" w:rsidP="00947FA0">
            <w:pPr>
              <w:spacing w:after="0" w:line="240" w:lineRule="auto"/>
              <w:jc w:val="center"/>
              <w:rPr>
                <w:rFonts w:ascii="Segoe UI Semibold" w:hAnsi="Segoe UI Semibold" w:cs="Segoe UI Semibold"/>
                <w:bCs/>
                <w:szCs w:val="20"/>
              </w:rPr>
            </w:pPr>
            <w:r w:rsidRPr="00755787">
              <w:rPr>
                <w:rFonts w:ascii="Segoe UI Semibold" w:hAnsi="Segoe UI Semibold" w:cs="Segoe UI Semibold"/>
                <w:bCs/>
                <w:szCs w:val="20"/>
              </w:rPr>
              <w:t>7</w:t>
            </w:r>
            <w:r w:rsidR="0061175F">
              <w:rPr>
                <w:rFonts w:ascii="Segoe UI Semibold" w:hAnsi="Segoe UI Semibold" w:cs="Segoe UI Semibold"/>
                <w:bCs/>
                <w:szCs w:val="20"/>
              </w:rPr>
              <w:t>3</w:t>
            </w:r>
            <w:r w:rsidRPr="00755787">
              <w:rPr>
                <w:rFonts w:ascii="Segoe UI Semibold" w:hAnsi="Segoe UI Semibold" w:cs="Segoe UI Semibold"/>
                <w:bCs/>
                <w:szCs w:val="20"/>
              </w:rPr>
              <w:t>%</w:t>
            </w:r>
          </w:p>
        </w:tc>
        <w:tc>
          <w:tcPr>
            <w:tcW w:w="0" w:type="auto"/>
            <w:tcBorders>
              <w:top w:val="nil"/>
              <w:bottom w:val="single" w:sz="2" w:space="0" w:color="BFBFBF" w:themeColor="background1" w:themeShade="BF"/>
            </w:tcBorders>
            <w:shd w:val="clear" w:color="auto" w:fill="D9D9D9" w:themeFill="background1" w:themeFillShade="D9"/>
            <w:vAlign w:val="center"/>
          </w:tcPr>
          <w:p w14:paraId="00ADF9CE" w14:textId="26B06A3F" w:rsidR="00670688" w:rsidRPr="00755787" w:rsidRDefault="0061175F" w:rsidP="00947FA0">
            <w:pPr>
              <w:spacing w:after="0" w:line="240" w:lineRule="auto"/>
              <w:jc w:val="center"/>
              <w:rPr>
                <w:rFonts w:ascii="Segoe UI Semibold" w:hAnsi="Segoe UI Semibold" w:cs="Segoe UI Semibold"/>
                <w:bCs/>
                <w:szCs w:val="20"/>
              </w:rPr>
            </w:pPr>
            <w:r>
              <w:rPr>
                <w:rFonts w:ascii="Segoe UI Semibold" w:hAnsi="Segoe UI Semibold" w:cs="Segoe UI Semibold"/>
                <w:bCs/>
                <w:szCs w:val="20"/>
              </w:rPr>
              <w:t>60</w:t>
            </w:r>
            <w:r w:rsidR="00670688" w:rsidRPr="00755787">
              <w:rPr>
                <w:rFonts w:ascii="Segoe UI Semibold" w:hAnsi="Segoe UI Semibold" w:cs="Segoe UI Semibold"/>
                <w:bCs/>
                <w:szCs w:val="20"/>
              </w:rPr>
              <w:t>%</w:t>
            </w:r>
          </w:p>
        </w:tc>
        <w:tc>
          <w:tcPr>
            <w:tcW w:w="0" w:type="auto"/>
            <w:tcBorders>
              <w:top w:val="nil"/>
              <w:bottom w:val="single" w:sz="2" w:space="0" w:color="BFBFBF" w:themeColor="background1" w:themeShade="BF"/>
            </w:tcBorders>
            <w:shd w:val="clear" w:color="auto" w:fill="D9D9D9" w:themeFill="background1" w:themeFillShade="D9"/>
            <w:vAlign w:val="center"/>
          </w:tcPr>
          <w:p w14:paraId="2D550F1B" w14:textId="73C9A6D9" w:rsidR="00670688" w:rsidRPr="00755787" w:rsidRDefault="00670688" w:rsidP="00947FA0">
            <w:pPr>
              <w:spacing w:after="0" w:line="240" w:lineRule="auto"/>
              <w:jc w:val="center"/>
              <w:rPr>
                <w:rFonts w:ascii="Segoe UI Semibold" w:hAnsi="Segoe UI Semibold" w:cs="Segoe UI Semibold"/>
                <w:bCs/>
                <w:szCs w:val="20"/>
              </w:rPr>
            </w:pPr>
            <w:r w:rsidRPr="00755787">
              <w:rPr>
                <w:rFonts w:ascii="Segoe UI Semibold" w:hAnsi="Segoe UI Semibold" w:cs="Segoe UI Semibold"/>
                <w:bCs/>
                <w:szCs w:val="20"/>
              </w:rPr>
              <w:t>5</w:t>
            </w:r>
            <w:r w:rsidR="0061175F">
              <w:rPr>
                <w:rFonts w:ascii="Segoe UI Semibold" w:hAnsi="Segoe UI Semibold" w:cs="Segoe UI Semibold"/>
                <w:bCs/>
                <w:szCs w:val="20"/>
              </w:rPr>
              <w:t>9</w:t>
            </w:r>
            <w:r w:rsidRPr="00755787">
              <w:rPr>
                <w:rFonts w:ascii="Segoe UI Semibold" w:hAnsi="Segoe UI Semibold" w:cs="Segoe UI Semibold"/>
                <w:bCs/>
                <w:szCs w:val="20"/>
              </w:rPr>
              <w:t>%</w:t>
            </w:r>
          </w:p>
        </w:tc>
        <w:tc>
          <w:tcPr>
            <w:tcW w:w="0" w:type="auto"/>
            <w:tcBorders>
              <w:top w:val="nil"/>
              <w:bottom w:val="single" w:sz="2" w:space="0" w:color="BFBFBF" w:themeColor="background1" w:themeShade="BF"/>
            </w:tcBorders>
            <w:shd w:val="clear" w:color="auto" w:fill="D9D9D9" w:themeFill="background1" w:themeFillShade="D9"/>
            <w:vAlign w:val="center"/>
          </w:tcPr>
          <w:p w14:paraId="33314C49" w14:textId="72D4BF9D" w:rsidR="00670688" w:rsidRPr="00755787" w:rsidRDefault="0061175F" w:rsidP="00947FA0">
            <w:pPr>
              <w:spacing w:after="0" w:line="240" w:lineRule="auto"/>
              <w:jc w:val="center"/>
              <w:rPr>
                <w:rFonts w:ascii="Segoe UI Semibold" w:hAnsi="Segoe UI Semibold" w:cs="Segoe UI Semibold"/>
                <w:bCs/>
                <w:szCs w:val="20"/>
              </w:rPr>
            </w:pPr>
            <w:r>
              <w:rPr>
                <w:rFonts w:ascii="Segoe UI Semibold" w:hAnsi="Segoe UI Semibold" w:cs="Segoe UI Semibold"/>
                <w:bCs/>
                <w:szCs w:val="20"/>
              </w:rPr>
              <w:t>81</w:t>
            </w:r>
            <w:r w:rsidR="00670688" w:rsidRPr="00755787">
              <w:rPr>
                <w:rFonts w:ascii="Segoe UI Semibold" w:hAnsi="Segoe UI Semibold" w:cs="Segoe UI Semibold"/>
                <w:bCs/>
                <w:szCs w:val="20"/>
              </w:rPr>
              <w:t>%</w:t>
            </w:r>
          </w:p>
        </w:tc>
        <w:tc>
          <w:tcPr>
            <w:tcW w:w="0" w:type="auto"/>
            <w:tcBorders>
              <w:top w:val="nil"/>
              <w:bottom w:val="single" w:sz="2" w:space="0" w:color="BFBFBF" w:themeColor="background1" w:themeShade="BF"/>
            </w:tcBorders>
            <w:shd w:val="clear" w:color="auto" w:fill="D9D9D9" w:themeFill="background1" w:themeFillShade="D9"/>
            <w:noWrap/>
            <w:vAlign w:val="center"/>
          </w:tcPr>
          <w:p w14:paraId="329FBF80" w14:textId="1BB77743" w:rsidR="00670688" w:rsidRPr="00755787" w:rsidRDefault="00670688" w:rsidP="00947FA0">
            <w:pPr>
              <w:spacing w:after="0" w:line="240" w:lineRule="auto"/>
              <w:jc w:val="center"/>
              <w:rPr>
                <w:rFonts w:ascii="Segoe UI Semibold" w:hAnsi="Segoe UI Semibold" w:cs="Segoe UI Semibold"/>
                <w:bCs/>
                <w:szCs w:val="20"/>
              </w:rPr>
            </w:pPr>
            <w:r w:rsidRPr="00755787">
              <w:rPr>
                <w:rFonts w:ascii="Segoe UI Semibold" w:hAnsi="Segoe UI Semibold" w:cs="Segoe UI Semibold"/>
                <w:bCs/>
                <w:szCs w:val="20"/>
              </w:rPr>
              <w:t>7</w:t>
            </w:r>
            <w:r w:rsidR="0061175F">
              <w:rPr>
                <w:rFonts w:ascii="Segoe UI Semibold" w:hAnsi="Segoe UI Semibold" w:cs="Segoe UI Semibold"/>
                <w:bCs/>
                <w:szCs w:val="20"/>
              </w:rPr>
              <w:t>5</w:t>
            </w:r>
            <w:r w:rsidRPr="00755787">
              <w:rPr>
                <w:rFonts w:ascii="Segoe UI Semibold" w:hAnsi="Segoe UI Semibold" w:cs="Segoe UI Semibold"/>
                <w:bCs/>
                <w:szCs w:val="20"/>
              </w:rPr>
              <w:t>%</w:t>
            </w:r>
          </w:p>
        </w:tc>
        <w:tc>
          <w:tcPr>
            <w:tcW w:w="0" w:type="auto"/>
            <w:tcBorders>
              <w:top w:val="nil"/>
              <w:bottom w:val="single" w:sz="2" w:space="0" w:color="BFBFBF" w:themeColor="background1" w:themeShade="BF"/>
            </w:tcBorders>
            <w:shd w:val="clear" w:color="auto" w:fill="D9D9D9" w:themeFill="background1" w:themeFillShade="D9"/>
            <w:vAlign w:val="center"/>
          </w:tcPr>
          <w:p w14:paraId="65FE0A0E" w14:textId="4DD91936" w:rsidR="00670688" w:rsidRPr="00755787" w:rsidRDefault="0061175F" w:rsidP="00947FA0">
            <w:pPr>
              <w:spacing w:after="0" w:line="240" w:lineRule="auto"/>
              <w:jc w:val="center"/>
              <w:rPr>
                <w:rFonts w:ascii="Segoe UI Semibold" w:hAnsi="Segoe UI Semibold" w:cs="Segoe UI Semibold"/>
                <w:bCs/>
                <w:szCs w:val="20"/>
              </w:rPr>
            </w:pPr>
            <w:r>
              <w:rPr>
                <w:rFonts w:ascii="Segoe UI Semibold" w:hAnsi="Segoe UI Semibold" w:cs="Segoe UI Semibold"/>
                <w:bCs/>
                <w:szCs w:val="20"/>
              </w:rPr>
              <w:t>50</w:t>
            </w:r>
            <w:r w:rsidR="00670688" w:rsidRPr="00755787">
              <w:rPr>
                <w:rFonts w:ascii="Segoe UI Semibold" w:hAnsi="Segoe UI Semibold" w:cs="Segoe UI Semibold"/>
                <w:bCs/>
                <w:szCs w:val="20"/>
              </w:rPr>
              <w:t>%</w:t>
            </w:r>
          </w:p>
        </w:tc>
      </w:tr>
      <w:tr w:rsidR="0097136A" w:rsidRPr="00F4455B" w14:paraId="59E8C02B" w14:textId="77777777" w:rsidTr="0097136A">
        <w:trPr>
          <w:trHeight w:val="392"/>
          <w:jc w:val="center"/>
        </w:trPr>
        <w:tc>
          <w:tcPr>
            <w:tcW w:w="1890" w:type="dxa"/>
            <w:tcBorders>
              <w:top w:val="single" w:sz="2" w:space="0" w:color="BFBFBF" w:themeColor="background1" w:themeShade="BF"/>
              <w:bottom w:val="single" w:sz="2" w:space="0" w:color="BFBFBF" w:themeColor="background1" w:themeShade="BF"/>
            </w:tcBorders>
            <w:shd w:val="clear" w:color="auto" w:fill="444444" w:themeFill="text1" w:themeFillTint="E6"/>
            <w:noWrap/>
            <w:vAlign w:val="center"/>
          </w:tcPr>
          <w:p w14:paraId="3FEC1390" w14:textId="7C16276F" w:rsidR="00670688" w:rsidRPr="00B30ADA" w:rsidRDefault="00670688" w:rsidP="00947FA0">
            <w:pPr>
              <w:spacing w:after="0" w:line="240" w:lineRule="auto"/>
              <w:jc w:val="right"/>
              <w:rPr>
                <w:rFonts w:cstheme="minorHAnsi"/>
                <w:i/>
                <w:iCs/>
                <w:color w:val="FFFFFF" w:themeColor="background1"/>
                <w:szCs w:val="20"/>
              </w:rPr>
            </w:pPr>
            <w:r w:rsidRPr="00B30ADA">
              <w:rPr>
                <w:rFonts w:cstheme="minorHAnsi"/>
                <w:i/>
                <w:iCs/>
                <w:color w:val="FFFFFF" w:themeColor="background1"/>
                <w:szCs w:val="20"/>
              </w:rPr>
              <w:t>Doctor's office</w:t>
            </w:r>
          </w:p>
        </w:tc>
        <w:tc>
          <w:tcPr>
            <w:tcW w:w="855" w:type="dxa"/>
            <w:tcBorders>
              <w:top w:val="single" w:sz="2" w:space="0" w:color="BFBFBF" w:themeColor="background1" w:themeShade="BF"/>
              <w:bottom w:val="single" w:sz="2" w:space="0" w:color="BFBFBF" w:themeColor="background1" w:themeShade="BF"/>
            </w:tcBorders>
            <w:shd w:val="clear" w:color="auto" w:fill="FFFFFF" w:themeFill="background1"/>
            <w:vAlign w:val="center"/>
          </w:tcPr>
          <w:p w14:paraId="5EB74EB5" w14:textId="22933AAD" w:rsidR="00670688" w:rsidRPr="00755787" w:rsidRDefault="00670688" w:rsidP="00947FA0">
            <w:pPr>
              <w:spacing w:after="0" w:line="240" w:lineRule="auto"/>
              <w:jc w:val="center"/>
              <w:rPr>
                <w:rFonts w:cstheme="minorHAnsi"/>
                <w:szCs w:val="20"/>
              </w:rPr>
            </w:pPr>
            <w:r w:rsidRPr="00755787">
              <w:rPr>
                <w:rFonts w:cstheme="minorHAnsi"/>
                <w:szCs w:val="20"/>
              </w:rPr>
              <w:t>5</w:t>
            </w:r>
            <w:r w:rsidR="0061175F">
              <w:rPr>
                <w:rFonts w:cstheme="minorHAnsi"/>
                <w:szCs w:val="20"/>
              </w:rPr>
              <w:t>2</w:t>
            </w:r>
            <w:r w:rsidRPr="00755787">
              <w:rPr>
                <w:rFonts w:cstheme="minorHAnsi"/>
                <w:szCs w:val="20"/>
              </w:rPr>
              <w:t>%</w:t>
            </w:r>
          </w:p>
        </w:tc>
        <w:tc>
          <w:tcPr>
            <w:tcW w:w="0" w:type="auto"/>
            <w:tcBorders>
              <w:top w:val="single" w:sz="2" w:space="0" w:color="BFBFBF" w:themeColor="background1" w:themeShade="BF"/>
              <w:bottom w:val="single" w:sz="2" w:space="0" w:color="BFBFBF" w:themeColor="background1" w:themeShade="BF"/>
            </w:tcBorders>
            <w:shd w:val="clear" w:color="auto" w:fill="FFFFFF" w:themeFill="background1"/>
            <w:vAlign w:val="center"/>
          </w:tcPr>
          <w:p w14:paraId="395355F6" w14:textId="267954E7" w:rsidR="00670688" w:rsidRPr="00755787" w:rsidRDefault="0061175F" w:rsidP="00947FA0">
            <w:pPr>
              <w:spacing w:after="0" w:line="240" w:lineRule="auto"/>
              <w:jc w:val="center"/>
              <w:rPr>
                <w:rFonts w:cstheme="minorHAnsi"/>
                <w:szCs w:val="20"/>
              </w:rPr>
            </w:pPr>
            <w:r>
              <w:rPr>
                <w:rFonts w:cstheme="minorHAnsi"/>
                <w:szCs w:val="20"/>
              </w:rPr>
              <w:t>50</w:t>
            </w:r>
            <w:r w:rsidR="00670688" w:rsidRPr="00755787">
              <w:rPr>
                <w:rFonts w:cstheme="minorHAnsi"/>
                <w:szCs w:val="20"/>
              </w:rPr>
              <w:t>%</w:t>
            </w:r>
          </w:p>
        </w:tc>
        <w:tc>
          <w:tcPr>
            <w:tcW w:w="0" w:type="auto"/>
            <w:tcBorders>
              <w:top w:val="single" w:sz="2" w:space="0" w:color="BFBFBF" w:themeColor="background1" w:themeShade="BF"/>
              <w:bottom w:val="single" w:sz="2" w:space="0" w:color="BFBFBF" w:themeColor="background1" w:themeShade="BF"/>
            </w:tcBorders>
            <w:shd w:val="clear" w:color="auto" w:fill="FFFFFF" w:themeFill="background1"/>
            <w:vAlign w:val="center"/>
          </w:tcPr>
          <w:p w14:paraId="4D15A0E6" w14:textId="75F55139" w:rsidR="00670688" w:rsidRPr="00755787" w:rsidRDefault="00670688" w:rsidP="00947FA0">
            <w:pPr>
              <w:spacing w:after="0" w:line="240" w:lineRule="auto"/>
              <w:jc w:val="center"/>
              <w:rPr>
                <w:rFonts w:cstheme="minorHAnsi"/>
                <w:szCs w:val="20"/>
              </w:rPr>
            </w:pPr>
            <w:r w:rsidRPr="00755787">
              <w:rPr>
                <w:rFonts w:cstheme="minorHAnsi"/>
                <w:szCs w:val="20"/>
              </w:rPr>
              <w:t>2</w:t>
            </w:r>
            <w:r w:rsidR="0061175F">
              <w:rPr>
                <w:rFonts w:cstheme="minorHAnsi"/>
                <w:szCs w:val="20"/>
              </w:rPr>
              <w:t>7</w:t>
            </w:r>
            <w:r w:rsidRPr="00755787">
              <w:rPr>
                <w:rFonts w:cstheme="minorHAnsi"/>
                <w:szCs w:val="20"/>
              </w:rPr>
              <w:t>%</w:t>
            </w:r>
          </w:p>
        </w:tc>
        <w:tc>
          <w:tcPr>
            <w:tcW w:w="0" w:type="auto"/>
            <w:tcBorders>
              <w:top w:val="single" w:sz="2" w:space="0" w:color="BFBFBF" w:themeColor="background1" w:themeShade="BF"/>
              <w:bottom w:val="single" w:sz="2" w:space="0" w:color="BFBFBF" w:themeColor="background1" w:themeShade="BF"/>
            </w:tcBorders>
            <w:shd w:val="clear" w:color="auto" w:fill="FFFFFF" w:themeFill="background1"/>
            <w:vAlign w:val="center"/>
          </w:tcPr>
          <w:p w14:paraId="51CA6BEC" w14:textId="4B535523" w:rsidR="00670688" w:rsidRPr="00755787" w:rsidRDefault="00670688" w:rsidP="00947FA0">
            <w:pPr>
              <w:spacing w:after="0" w:line="240" w:lineRule="auto"/>
              <w:jc w:val="center"/>
              <w:rPr>
                <w:rFonts w:cstheme="minorHAnsi"/>
                <w:szCs w:val="20"/>
              </w:rPr>
            </w:pPr>
            <w:r w:rsidRPr="00755787">
              <w:rPr>
                <w:rFonts w:cstheme="minorHAnsi"/>
                <w:szCs w:val="20"/>
              </w:rPr>
              <w:t>4</w:t>
            </w:r>
            <w:r w:rsidR="0061175F">
              <w:rPr>
                <w:rFonts w:cstheme="minorHAnsi"/>
                <w:szCs w:val="20"/>
              </w:rPr>
              <w:t>5</w:t>
            </w:r>
            <w:r w:rsidRPr="00755787">
              <w:rPr>
                <w:rFonts w:cstheme="minorHAnsi"/>
                <w:szCs w:val="20"/>
              </w:rPr>
              <w:t>%</w:t>
            </w:r>
          </w:p>
        </w:tc>
        <w:tc>
          <w:tcPr>
            <w:tcW w:w="0" w:type="auto"/>
            <w:tcBorders>
              <w:top w:val="single" w:sz="2" w:space="0" w:color="BFBFBF" w:themeColor="background1" w:themeShade="BF"/>
              <w:bottom w:val="single" w:sz="2" w:space="0" w:color="BFBFBF" w:themeColor="background1" w:themeShade="BF"/>
            </w:tcBorders>
            <w:shd w:val="clear" w:color="auto" w:fill="FFFFFF" w:themeFill="background1"/>
            <w:vAlign w:val="center"/>
          </w:tcPr>
          <w:p w14:paraId="5D9B2ACD" w14:textId="3C344E9A" w:rsidR="00670688" w:rsidRPr="00755787" w:rsidRDefault="0061175F" w:rsidP="00947FA0">
            <w:pPr>
              <w:spacing w:after="0" w:line="240" w:lineRule="auto"/>
              <w:jc w:val="center"/>
              <w:rPr>
                <w:rFonts w:cstheme="minorHAnsi"/>
                <w:szCs w:val="20"/>
              </w:rPr>
            </w:pPr>
            <w:r>
              <w:rPr>
                <w:rFonts w:cstheme="minorHAnsi"/>
                <w:szCs w:val="20"/>
              </w:rPr>
              <w:t>25</w:t>
            </w:r>
            <w:r w:rsidR="00670688" w:rsidRPr="00755787">
              <w:rPr>
                <w:rFonts w:cstheme="minorHAnsi"/>
                <w:szCs w:val="20"/>
              </w:rPr>
              <w:t>%</w:t>
            </w:r>
          </w:p>
        </w:tc>
        <w:tc>
          <w:tcPr>
            <w:tcW w:w="0" w:type="auto"/>
            <w:tcBorders>
              <w:top w:val="single" w:sz="2" w:space="0" w:color="BFBFBF" w:themeColor="background1" w:themeShade="BF"/>
              <w:bottom w:val="single" w:sz="2" w:space="0" w:color="BFBFBF" w:themeColor="background1" w:themeShade="BF"/>
            </w:tcBorders>
            <w:shd w:val="clear" w:color="auto" w:fill="FFFFFF" w:themeFill="background1"/>
            <w:vAlign w:val="center"/>
          </w:tcPr>
          <w:p w14:paraId="24C5F428" w14:textId="5DB1CE5C" w:rsidR="00670688" w:rsidRPr="00755787" w:rsidRDefault="00670688" w:rsidP="00947FA0">
            <w:pPr>
              <w:spacing w:after="0" w:line="240" w:lineRule="auto"/>
              <w:jc w:val="center"/>
              <w:rPr>
                <w:rFonts w:cstheme="minorHAnsi"/>
                <w:szCs w:val="20"/>
              </w:rPr>
            </w:pPr>
            <w:r w:rsidRPr="00755787">
              <w:rPr>
                <w:rFonts w:cstheme="minorHAnsi"/>
                <w:szCs w:val="20"/>
              </w:rPr>
              <w:t>2</w:t>
            </w:r>
            <w:r w:rsidR="0061175F">
              <w:rPr>
                <w:rFonts w:cstheme="minorHAnsi"/>
                <w:szCs w:val="20"/>
              </w:rPr>
              <w:t>9</w:t>
            </w:r>
            <w:r w:rsidRPr="00755787">
              <w:rPr>
                <w:rFonts w:cstheme="minorHAnsi"/>
                <w:szCs w:val="20"/>
              </w:rPr>
              <w:t>%</w:t>
            </w:r>
          </w:p>
        </w:tc>
        <w:tc>
          <w:tcPr>
            <w:tcW w:w="0" w:type="auto"/>
            <w:tcBorders>
              <w:top w:val="single" w:sz="2" w:space="0" w:color="BFBFBF" w:themeColor="background1" w:themeShade="BF"/>
              <w:bottom w:val="single" w:sz="2" w:space="0" w:color="BFBFBF" w:themeColor="background1" w:themeShade="BF"/>
            </w:tcBorders>
            <w:shd w:val="clear" w:color="auto" w:fill="FFFFFF" w:themeFill="background1"/>
            <w:vAlign w:val="center"/>
          </w:tcPr>
          <w:p w14:paraId="59347BC5" w14:textId="5EE82D0F" w:rsidR="00670688" w:rsidRPr="00755787" w:rsidRDefault="0061175F" w:rsidP="00947FA0">
            <w:pPr>
              <w:spacing w:after="0" w:line="240" w:lineRule="auto"/>
              <w:jc w:val="center"/>
              <w:rPr>
                <w:rFonts w:cstheme="minorHAnsi"/>
                <w:szCs w:val="20"/>
              </w:rPr>
            </w:pPr>
            <w:r>
              <w:rPr>
                <w:rFonts w:cstheme="minorHAnsi"/>
                <w:szCs w:val="20"/>
              </w:rPr>
              <w:t>51</w:t>
            </w:r>
            <w:r w:rsidR="00670688" w:rsidRPr="00755787">
              <w:rPr>
                <w:rFonts w:cstheme="minorHAnsi"/>
                <w:szCs w:val="20"/>
              </w:rPr>
              <w:t>%</w:t>
            </w:r>
          </w:p>
        </w:tc>
        <w:tc>
          <w:tcPr>
            <w:tcW w:w="0" w:type="auto"/>
            <w:tcBorders>
              <w:top w:val="single" w:sz="2" w:space="0" w:color="BFBFBF" w:themeColor="background1" w:themeShade="BF"/>
              <w:bottom w:val="single" w:sz="2" w:space="0" w:color="BFBFBF" w:themeColor="background1" w:themeShade="BF"/>
            </w:tcBorders>
            <w:shd w:val="clear" w:color="auto" w:fill="FFFFFF" w:themeFill="background1"/>
            <w:noWrap/>
            <w:vAlign w:val="center"/>
          </w:tcPr>
          <w:p w14:paraId="0091564F" w14:textId="69E6D415" w:rsidR="00670688" w:rsidRPr="00755787" w:rsidRDefault="00670688" w:rsidP="00947FA0">
            <w:pPr>
              <w:spacing w:after="0" w:line="240" w:lineRule="auto"/>
              <w:jc w:val="center"/>
              <w:rPr>
                <w:rFonts w:cstheme="minorHAnsi"/>
                <w:szCs w:val="20"/>
              </w:rPr>
            </w:pPr>
            <w:r w:rsidRPr="00755787">
              <w:rPr>
                <w:rFonts w:cstheme="minorHAnsi"/>
                <w:szCs w:val="20"/>
              </w:rPr>
              <w:t>4</w:t>
            </w:r>
            <w:r w:rsidR="00BF3D15">
              <w:rPr>
                <w:rFonts w:cstheme="minorHAnsi"/>
                <w:szCs w:val="20"/>
              </w:rPr>
              <w:t>4</w:t>
            </w:r>
            <w:r w:rsidRPr="00755787">
              <w:rPr>
                <w:rFonts w:cstheme="minorHAnsi"/>
                <w:szCs w:val="20"/>
              </w:rPr>
              <w:t>%</w:t>
            </w:r>
          </w:p>
        </w:tc>
        <w:tc>
          <w:tcPr>
            <w:tcW w:w="0" w:type="auto"/>
            <w:tcBorders>
              <w:top w:val="single" w:sz="2" w:space="0" w:color="BFBFBF" w:themeColor="background1" w:themeShade="BF"/>
              <w:bottom w:val="single" w:sz="2" w:space="0" w:color="BFBFBF" w:themeColor="background1" w:themeShade="BF"/>
            </w:tcBorders>
            <w:shd w:val="clear" w:color="auto" w:fill="FFFFFF" w:themeFill="background1"/>
            <w:vAlign w:val="center"/>
          </w:tcPr>
          <w:p w14:paraId="7FB83C28" w14:textId="108B1619" w:rsidR="00670688" w:rsidRPr="00755787" w:rsidRDefault="00080773" w:rsidP="00947FA0">
            <w:pPr>
              <w:spacing w:after="0" w:line="240" w:lineRule="auto"/>
              <w:jc w:val="center"/>
              <w:rPr>
                <w:rFonts w:cstheme="minorHAnsi"/>
                <w:szCs w:val="20"/>
              </w:rPr>
            </w:pPr>
            <w:r w:rsidRPr="00755787">
              <w:rPr>
                <w:rFonts w:cstheme="minorHAnsi"/>
                <w:szCs w:val="20"/>
              </w:rPr>
              <w:t>1</w:t>
            </w:r>
            <w:r w:rsidR="00BF3D15">
              <w:rPr>
                <w:rFonts w:cstheme="minorHAnsi"/>
                <w:szCs w:val="20"/>
              </w:rPr>
              <w:t>9</w:t>
            </w:r>
            <w:r w:rsidR="00670688" w:rsidRPr="00755787">
              <w:rPr>
                <w:rFonts w:cstheme="minorHAnsi"/>
                <w:szCs w:val="20"/>
              </w:rPr>
              <w:t>%</w:t>
            </w:r>
          </w:p>
        </w:tc>
      </w:tr>
      <w:tr w:rsidR="0097136A" w:rsidRPr="00F4455B" w14:paraId="3A1F84D7" w14:textId="77777777" w:rsidTr="0097136A">
        <w:trPr>
          <w:trHeight w:val="392"/>
          <w:jc w:val="center"/>
        </w:trPr>
        <w:tc>
          <w:tcPr>
            <w:tcW w:w="1890" w:type="dxa"/>
            <w:tcBorders>
              <w:top w:val="single" w:sz="2" w:space="0" w:color="BFBFBF" w:themeColor="background1" w:themeShade="BF"/>
              <w:bottom w:val="single" w:sz="2" w:space="0" w:color="BFBFBF" w:themeColor="background1" w:themeShade="BF"/>
            </w:tcBorders>
            <w:shd w:val="clear" w:color="auto" w:fill="444444" w:themeFill="text1" w:themeFillTint="E6"/>
            <w:noWrap/>
            <w:vAlign w:val="center"/>
          </w:tcPr>
          <w:p w14:paraId="4C1170FD" w14:textId="7AC91D4E" w:rsidR="00670688" w:rsidRPr="00B30ADA" w:rsidRDefault="00670688" w:rsidP="00947FA0">
            <w:pPr>
              <w:spacing w:after="0" w:line="240" w:lineRule="auto"/>
              <w:jc w:val="right"/>
              <w:rPr>
                <w:rFonts w:cstheme="minorHAnsi"/>
                <w:i/>
                <w:iCs/>
                <w:color w:val="FFFFFF" w:themeColor="background1"/>
                <w:szCs w:val="20"/>
              </w:rPr>
            </w:pPr>
            <w:r w:rsidRPr="00B30ADA">
              <w:rPr>
                <w:rFonts w:cstheme="minorHAnsi"/>
                <w:i/>
                <w:iCs/>
                <w:color w:val="FFFFFF" w:themeColor="background1"/>
                <w:szCs w:val="20"/>
              </w:rPr>
              <w:t>Clinic or health center</w:t>
            </w:r>
          </w:p>
        </w:tc>
        <w:tc>
          <w:tcPr>
            <w:tcW w:w="855" w:type="dxa"/>
            <w:tcBorders>
              <w:top w:val="single" w:sz="2" w:space="0" w:color="BFBFBF" w:themeColor="background1" w:themeShade="BF"/>
              <w:bottom w:val="single" w:sz="2" w:space="0" w:color="BFBFBF" w:themeColor="background1" w:themeShade="BF"/>
            </w:tcBorders>
            <w:shd w:val="clear" w:color="auto" w:fill="FFFFFF" w:themeFill="background1"/>
            <w:vAlign w:val="center"/>
          </w:tcPr>
          <w:p w14:paraId="54286703" w14:textId="3129CBE3" w:rsidR="00670688" w:rsidRPr="00755787" w:rsidRDefault="00670688" w:rsidP="00947FA0">
            <w:pPr>
              <w:spacing w:after="0" w:line="240" w:lineRule="auto"/>
              <w:jc w:val="center"/>
              <w:rPr>
                <w:rFonts w:cstheme="minorHAnsi"/>
                <w:szCs w:val="20"/>
              </w:rPr>
            </w:pPr>
            <w:r w:rsidRPr="00755787">
              <w:rPr>
                <w:rFonts w:cstheme="minorHAnsi"/>
                <w:szCs w:val="20"/>
              </w:rPr>
              <w:t>1</w:t>
            </w:r>
            <w:r w:rsidR="0061175F">
              <w:rPr>
                <w:rFonts w:cstheme="minorHAnsi"/>
                <w:szCs w:val="20"/>
              </w:rPr>
              <w:t>5</w:t>
            </w:r>
            <w:r w:rsidRPr="00755787">
              <w:rPr>
                <w:rFonts w:cstheme="minorHAnsi"/>
                <w:szCs w:val="20"/>
              </w:rPr>
              <w:t>%</w:t>
            </w:r>
          </w:p>
        </w:tc>
        <w:tc>
          <w:tcPr>
            <w:tcW w:w="0" w:type="auto"/>
            <w:tcBorders>
              <w:top w:val="single" w:sz="2" w:space="0" w:color="BFBFBF" w:themeColor="background1" w:themeShade="BF"/>
              <w:bottom w:val="single" w:sz="2" w:space="0" w:color="BFBFBF" w:themeColor="background1" w:themeShade="BF"/>
            </w:tcBorders>
            <w:shd w:val="clear" w:color="auto" w:fill="FFFFFF" w:themeFill="background1"/>
            <w:vAlign w:val="center"/>
          </w:tcPr>
          <w:p w14:paraId="2D04B469" w14:textId="5901F3AC" w:rsidR="00670688" w:rsidRPr="00755787" w:rsidRDefault="00670688" w:rsidP="00947FA0">
            <w:pPr>
              <w:spacing w:after="0" w:line="240" w:lineRule="auto"/>
              <w:jc w:val="center"/>
              <w:rPr>
                <w:rFonts w:cstheme="minorHAnsi"/>
                <w:szCs w:val="20"/>
              </w:rPr>
            </w:pPr>
            <w:r w:rsidRPr="00755787">
              <w:rPr>
                <w:rFonts w:cstheme="minorHAnsi"/>
                <w:szCs w:val="20"/>
              </w:rPr>
              <w:t>1</w:t>
            </w:r>
            <w:r w:rsidR="0061175F">
              <w:rPr>
                <w:rFonts w:cstheme="minorHAnsi"/>
                <w:szCs w:val="20"/>
              </w:rPr>
              <w:t>7</w:t>
            </w:r>
            <w:r w:rsidRPr="00755787">
              <w:rPr>
                <w:rFonts w:cstheme="minorHAnsi"/>
                <w:szCs w:val="20"/>
              </w:rPr>
              <w:t>%</w:t>
            </w:r>
          </w:p>
        </w:tc>
        <w:tc>
          <w:tcPr>
            <w:tcW w:w="0" w:type="auto"/>
            <w:tcBorders>
              <w:top w:val="single" w:sz="2" w:space="0" w:color="BFBFBF" w:themeColor="background1" w:themeShade="BF"/>
              <w:bottom w:val="single" w:sz="2" w:space="0" w:color="BFBFBF" w:themeColor="background1" w:themeShade="BF"/>
            </w:tcBorders>
            <w:shd w:val="clear" w:color="auto" w:fill="FFFFFF" w:themeFill="background1"/>
            <w:vAlign w:val="center"/>
          </w:tcPr>
          <w:p w14:paraId="2889DD36" w14:textId="54E1408A" w:rsidR="00670688" w:rsidRPr="00755787" w:rsidRDefault="00670688" w:rsidP="00947FA0">
            <w:pPr>
              <w:spacing w:after="0" w:line="240" w:lineRule="auto"/>
              <w:jc w:val="center"/>
              <w:rPr>
                <w:rFonts w:cstheme="minorHAnsi"/>
                <w:szCs w:val="20"/>
              </w:rPr>
            </w:pPr>
            <w:r w:rsidRPr="00755787">
              <w:rPr>
                <w:rFonts w:cstheme="minorHAnsi"/>
                <w:szCs w:val="20"/>
              </w:rPr>
              <w:t>2</w:t>
            </w:r>
            <w:r w:rsidR="0061175F">
              <w:rPr>
                <w:rFonts w:cstheme="minorHAnsi"/>
                <w:szCs w:val="20"/>
              </w:rPr>
              <w:t>3</w:t>
            </w:r>
            <w:r w:rsidRPr="00755787">
              <w:rPr>
                <w:rFonts w:cstheme="minorHAnsi"/>
                <w:szCs w:val="20"/>
              </w:rPr>
              <w:t>%</w:t>
            </w:r>
          </w:p>
        </w:tc>
        <w:tc>
          <w:tcPr>
            <w:tcW w:w="0" w:type="auto"/>
            <w:tcBorders>
              <w:top w:val="single" w:sz="2" w:space="0" w:color="BFBFBF" w:themeColor="background1" w:themeShade="BF"/>
              <w:bottom w:val="single" w:sz="2" w:space="0" w:color="BFBFBF" w:themeColor="background1" w:themeShade="BF"/>
            </w:tcBorders>
            <w:shd w:val="clear" w:color="auto" w:fill="FFFFFF" w:themeFill="background1"/>
            <w:vAlign w:val="center"/>
          </w:tcPr>
          <w:p w14:paraId="4BF83BE1" w14:textId="20465B7C" w:rsidR="00670688" w:rsidRPr="00755787" w:rsidRDefault="00670688" w:rsidP="00947FA0">
            <w:pPr>
              <w:spacing w:after="0" w:line="240" w:lineRule="auto"/>
              <w:jc w:val="center"/>
              <w:rPr>
                <w:rFonts w:cstheme="minorHAnsi"/>
                <w:szCs w:val="20"/>
              </w:rPr>
            </w:pPr>
            <w:r w:rsidRPr="00755787">
              <w:rPr>
                <w:rFonts w:cstheme="minorHAnsi"/>
                <w:szCs w:val="20"/>
              </w:rPr>
              <w:t>1</w:t>
            </w:r>
            <w:r w:rsidR="0061175F">
              <w:rPr>
                <w:rFonts w:cstheme="minorHAnsi"/>
                <w:szCs w:val="20"/>
              </w:rPr>
              <w:t>5</w:t>
            </w:r>
            <w:r w:rsidRPr="00755787">
              <w:rPr>
                <w:rFonts w:cstheme="minorHAnsi"/>
                <w:szCs w:val="20"/>
              </w:rPr>
              <w:t>%</w:t>
            </w:r>
          </w:p>
        </w:tc>
        <w:tc>
          <w:tcPr>
            <w:tcW w:w="0" w:type="auto"/>
            <w:tcBorders>
              <w:top w:val="single" w:sz="2" w:space="0" w:color="BFBFBF" w:themeColor="background1" w:themeShade="BF"/>
              <w:bottom w:val="single" w:sz="2" w:space="0" w:color="BFBFBF" w:themeColor="background1" w:themeShade="BF"/>
            </w:tcBorders>
            <w:shd w:val="clear" w:color="auto" w:fill="FFFFFF" w:themeFill="background1"/>
            <w:vAlign w:val="center"/>
          </w:tcPr>
          <w:p w14:paraId="0D1E09B9" w14:textId="6927EFE8" w:rsidR="00670688" w:rsidRPr="00755787" w:rsidRDefault="0061175F" w:rsidP="00947FA0">
            <w:pPr>
              <w:spacing w:after="0" w:line="240" w:lineRule="auto"/>
              <w:jc w:val="center"/>
              <w:rPr>
                <w:rFonts w:cstheme="minorHAnsi"/>
                <w:szCs w:val="20"/>
              </w:rPr>
            </w:pPr>
            <w:r>
              <w:rPr>
                <w:rFonts w:cstheme="minorHAnsi"/>
                <w:szCs w:val="20"/>
              </w:rPr>
              <w:t>29</w:t>
            </w:r>
            <w:r w:rsidR="00670688" w:rsidRPr="00755787">
              <w:rPr>
                <w:rFonts w:cstheme="minorHAnsi"/>
                <w:szCs w:val="20"/>
              </w:rPr>
              <w:t>%</w:t>
            </w:r>
          </w:p>
        </w:tc>
        <w:tc>
          <w:tcPr>
            <w:tcW w:w="0" w:type="auto"/>
            <w:tcBorders>
              <w:top w:val="single" w:sz="2" w:space="0" w:color="BFBFBF" w:themeColor="background1" w:themeShade="BF"/>
              <w:bottom w:val="single" w:sz="2" w:space="0" w:color="BFBFBF" w:themeColor="background1" w:themeShade="BF"/>
            </w:tcBorders>
            <w:shd w:val="clear" w:color="auto" w:fill="FFFFFF" w:themeFill="background1"/>
            <w:vAlign w:val="center"/>
          </w:tcPr>
          <w:p w14:paraId="5467AFA9" w14:textId="6E03715D" w:rsidR="00670688" w:rsidRPr="00755787" w:rsidRDefault="00670688" w:rsidP="00947FA0">
            <w:pPr>
              <w:spacing w:after="0" w:line="240" w:lineRule="auto"/>
              <w:jc w:val="center"/>
              <w:rPr>
                <w:rFonts w:cstheme="minorHAnsi"/>
                <w:szCs w:val="20"/>
              </w:rPr>
            </w:pPr>
            <w:r w:rsidRPr="00755787">
              <w:rPr>
                <w:rFonts w:cstheme="minorHAnsi"/>
                <w:szCs w:val="20"/>
              </w:rPr>
              <w:t>2</w:t>
            </w:r>
            <w:r w:rsidR="0061175F">
              <w:rPr>
                <w:rFonts w:cstheme="minorHAnsi"/>
                <w:szCs w:val="20"/>
              </w:rPr>
              <w:t>1</w:t>
            </w:r>
            <w:r w:rsidRPr="00755787">
              <w:rPr>
                <w:rFonts w:cstheme="minorHAnsi"/>
                <w:szCs w:val="20"/>
              </w:rPr>
              <w:t>%</w:t>
            </w:r>
          </w:p>
        </w:tc>
        <w:tc>
          <w:tcPr>
            <w:tcW w:w="0" w:type="auto"/>
            <w:tcBorders>
              <w:top w:val="single" w:sz="2" w:space="0" w:color="BFBFBF" w:themeColor="background1" w:themeShade="BF"/>
              <w:bottom w:val="single" w:sz="2" w:space="0" w:color="BFBFBF" w:themeColor="background1" w:themeShade="BF"/>
            </w:tcBorders>
            <w:shd w:val="clear" w:color="auto" w:fill="FFFFFF" w:themeFill="background1"/>
            <w:vAlign w:val="center"/>
          </w:tcPr>
          <w:p w14:paraId="28CABBBD" w14:textId="2D82287D" w:rsidR="00670688" w:rsidRPr="00755787" w:rsidRDefault="00670688" w:rsidP="00947FA0">
            <w:pPr>
              <w:spacing w:after="0" w:line="240" w:lineRule="auto"/>
              <w:jc w:val="center"/>
              <w:rPr>
                <w:rFonts w:cstheme="minorHAnsi"/>
                <w:szCs w:val="20"/>
              </w:rPr>
            </w:pPr>
            <w:r w:rsidRPr="00755787">
              <w:rPr>
                <w:rFonts w:cstheme="minorHAnsi"/>
                <w:szCs w:val="20"/>
              </w:rPr>
              <w:t>1</w:t>
            </w:r>
            <w:r w:rsidR="0061175F">
              <w:rPr>
                <w:rFonts w:cstheme="minorHAnsi"/>
                <w:szCs w:val="20"/>
              </w:rPr>
              <w:t>6</w:t>
            </w:r>
            <w:r w:rsidRPr="00755787">
              <w:rPr>
                <w:rFonts w:cstheme="minorHAnsi"/>
                <w:szCs w:val="20"/>
              </w:rPr>
              <w:t>%</w:t>
            </w:r>
          </w:p>
        </w:tc>
        <w:tc>
          <w:tcPr>
            <w:tcW w:w="0" w:type="auto"/>
            <w:tcBorders>
              <w:top w:val="single" w:sz="2" w:space="0" w:color="BFBFBF" w:themeColor="background1" w:themeShade="BF"/>
              <w:bottom w:val="single" w:sz="2" w:space="0" w:color="BFBFBF" w:themeColor="background1" w:themeShade="BF"/>
            </w:tcBorders>
            <w:shd w:val="clear" w:color="auto" w:fill="FFFFFF" w:themeFill="background1"/>
            <w:noWrap/>
            <w:vAlign w:val="center"/>
          </w:tcPr>
          <w:p w14:paraId="3900E98B" w14:textId="5A8BD4EF" w:rsidR="00670688" w:rsidRPr="00755787" w:rsidRDefault="00670688" w:rsidP="00947FA0">
            <w:pPr>
              <w:spacing w:after="0" w:line="240" w:lineRule="auto"/>
              <w:jc w:val="center"/>
              <w:rPr>
                <w:rFonts w:cstheme="minorHAnsi"/>
                <w:szCs w:val="20"/>
              </w:rPr>
            </w:pPr>
            <w:r w:rsidRPr="00755787">
              <w:rPr>
                <w:rFonts w:cstheme="minorHAnsi"/>
                <w:szCs w:val="20"/>
              </w:rPr>
              <w:t>1</w:t>
            </w:r>
            <w:r w:rsidR="0061175F">
              <w:rPr>
                <w:rFonts w:cstheme="minorHAnsi"/>
                <w:szCs w:val="20"/>
              </w:rPr>
              <w:t>6</w:t>
            </w:r>
            <w:r w:rsidRPr="00755787">
              <w:rPr>
                <w:rFonts w:cstheme="minorHAnsi"/>
                <w:szCs w:val="20"/>
              </w:rPr>
              <w:t>%</w:t>
            </w:r>
          </w:p>
        </w:tc>
        <w:tc>
          <w:tcPr>
            <w:tcW w:w="0" w:type="auto"/>
            <w:tcBorders>
              <w:top w:val="single" w:sz="2" w:space="0" w:color="BFBFBF" w:themeColor="background1" w:themeShade="BF"/>
              <w:bottom w:val="single" w:sz="2" w:space="0" w:color="BFBFBF" w:themeColor="background1" w:themeShade="BF"/>
            </w:tcBorders>
            <w:shd w:val="clear" w:color="auto" w:fill="FFFFFF" w:themeFill="background1"/>
            <w:vAlign w:val="center"/>
          </w:tcPr>
          <w:p w14:paraId="730C4E2A" w14:textId="383A54F1" w:rsidR="00670688" w:rsidRPr="00755787" w:rsidRDefault="00080773" w:rsidP="00947FA0">
            <w:pPr>
              <w:spacing w:after="0" w:line="240" w:lineRule="auto"/>
              <w:jc w:val="center"/>
              <w:rPr>
                <w:rFonts w:cstheme="minorHAnsi"/>
                <w:szCs w:val="20"/>
              </w:rPr>
            </w:pPr>
            <w:r w:rsidRPr="00755787">
              <w:rPr>
                <w:rFonts w:cstheme="minorHAnsi"/>
                <w:szCs w:val="20"/>
              </w:rPr>
              <w:t>2</w:t>
            </w:r>
            <w:r w:rsidR="0061175F">
              <w:rPr>
                <w:rFonts w:cstheme="minorHAnsi"/>
                <w:szCs w:val="20"/>
              </w:rPr>
              <w:t>4</w:t>
            </w:r>
            <w:r w:rsidR="00670688" w:rsidRPr="00755787">
              <w:rPr>
                <w:rFonts w:cstheme="minorHAnsi"/>
                <w:szCs w:val="20"/>
              </w:rPr>
              <w:t>%</w:t>
            </w:r>
          </w:p>
        </w:tc>
      </w:tr>
      <w:tr w:rsidR="0097136A" w:rsidRPr="00F4455B" w14:paraId="409D77B2" w14:textId="77777777" w:rsidTr="0097136A">
        <w:trPr>
          <w:trHeight w:val="392"/>
          <w:jc w:val="center"/>
        </w:trPr>
        <w:tc>
          <w:tcPr>
            <w:tcW w:w="1890" w:type="dxa"/>
            <w:tcBorders>
              <w:top w:val="single" w:sz="2" w:space="0" w:color="BFBFBF" w:themeColor="background1" w:themeShade="BF"/>
              <w:bottom w:val="single" w:sz="2" w:space="0" w:color="BFBFBF" w:themeColor="background1" w:themeShade="BF"/>
            </w:tcBorders>
            <w:shd w:val="clear" w:color="auto" w:fill="444444" w:themeFill="text1" w:themeFillTint="E6"/>
            <w:noWrap/>
            <w:vAlign w:val="center"/>
          </w:tcPr>
          <w:p w14:paraId="5121125A" w14:textId="0D5DD2C7" w:rsidR="00670688" w:rsidRPr="00B30ADA" w:rsidRDefault="00670688" w:rsidP="00947FA0">
            <w:pPr>
              <w:spacing w:after="0" w:line="240" w:lineRule="auto"/>
              <w:jc w:val="right"/>
              <w:rPr>
                <w:rFonts w:cstheme="minorHAnsi"/>
                <w:i/>
                <w:iCs/>
                <w:color w:val="FFFFFF" w:themeColor="background1"/>
                <w:szCs w:val="20"/>
              </w:rPr>
            </w:pPr>
            <w:r w:rsidRPr="00B30ADA">
              <w:rPr>
                <w:rFonts w:cstheme="minorHAnsi"/>
                <w:i/>
                <w:iCs/>
                <w:color w:val="FFFFFF" w:themeColor="background1"/>
                <w:szCs w:val="20"/>
              </w:rPr>
              <w:t>Urgent care/</w:t>
            </w:r>
            <w:r w:rsidR="0097136A" w:rsidRPr="00B30ADA">
              <w:rPr>
                <w:rFonts w:cstheme="minorHAnsi"/>
                <w:i/>
                <w:iCs/>
                <w:color w:val="FFFFFF" w:themeColor="background1"/>
                <w:szCs w:val="20"/>
              </w:rPr>
              <w:t xml:space="preserve"> </w:t>
            </w:r>
            <w:r w:rsidRPr="00B30ADA">
              <w:rPr>
                <w:rFonts w:cstheme="minorHAnsi"/>
                <w:i/>
                <w:iCs/>
                <w:color w:val="FFFFFF" w:themeColor="background1"/>
                <w:szCs w:val="20"/>
              </w:rPr>
              <w:t>Outpatient</w:t>
            </w:r>
            <w:r w:rsidR="0097136A" w:rsidRPr="00B30ADA">
              <w:rPr>
                <w:rFonts w:cstheme="minorHAnsi"/>
                <w:i/>
                <w:iCs/>
                <w:color w:val="FFFFFF" w:themeColor="background1"/>
                <w:szCs w:val="20"/>
              </w:rPr>
              <w:t>/</w:t>
            </w:r>
            <w:r w:rsidRPr="00B30ADA">
              <w:rPr>
                <w:rFonts w:cstheme="minorHAnsi"/>
                <w:i/>
                <w:iCs/>
                <w:color w:val="FFFFFF" w:themeColor="background1"/>
                <w:szCs w:val="20"/>
              </w:rPr>
              <w:t>Other</w:t>
            </w:r>
          </w:p>
        </w:tc>
        <w:tc>
          <w:tcPr>
            <w:tcW w:w="855" w:type="dxa"/>
            <w:tcBorders>
              <w:top w:val="single" w:sz="2" w:space="0" w:color="BFBFBF" w:themeColor="background1" w:themeShade="BF"/>
              <w:bottom w:val="nil"/>
            </w:tcBorders>
            <w:vAlign w:val="center"/>
          </w:tcPr>
          <w:p w14:paraId="7CC9F3A3" w14:textId="67211D01" w:rsidR="00670688" w:rsidRPr="00755787" w:rsidRDefault="00670688" w:rsidP="00947FA0">
            <w:pPr>
              <w:spacing w:after="0" w:line="240" w:lineRule="auto"/>
              <w:jc w:val="center"/>
              <w:rPr>
                <w:rFonts w:cstheme="minorHAnsi"/>
                <w:szCs w:val="20"/>
              </w:rPr>
            </w:pPr>
            <w:r w:rsidRPr="00755787">
              <w:rPr>
                <w:rFonts w:cstheme="minorHAnsi"/>
                <w:szCs w:val="20"/>
              </w:rPr>
              <w:t>1</w:t>
            </w:r>
            <w:r w:rsidR="00BF3D15">
              <w:rPr>
                <w:rFonts w:cstheme="minorHAnsi"/>
                <w:szCs w:val="20"/>
              </w:rPr>
              <w:t>1</w:t>
            </w:r>
            <w:r w:rsidRPr="00755787">
              <w:rPr>
                <w:rFonts w:cstheme="minorHAnsi"/>
                <w:szCs w:val="20"/>
              </w:rPr>
              <w:t>%</w:t>
            </w:r>
          </w:p>
        </w:tc>
        <w:tc>
          <w:tcPr>
            <w:tcW w:w="0" w:type="auto"/>
            <w:tcBorders>
              <w:top w:val="single" w:sz="2" w:space="0" w:color="BFBFBF" w:themeColor="background1" w:themeShade="BF"/>
              <w:bottom w:val="nil"/>
            </w:tcBorders>
            <w:vAlign w:val="center"/>
          </w:tcPr>
          <w:p w14:paraId="6A94B876" w14:textId="5472BFCA" w:rsidR="00670688" w:rsidRPr="00755787" w:rsidRDefault="00670688" w:rsidP="00947FA0">
            <w:pPr>
              <w:spacing w:after="0" w:line="240" w:lineRule="auto"/>
              <w:jc w:val="center"/>
              <w:rPr>
                <w:rFonts w:cstheme="minorHAnsi"/>
                <w:szCs w:val="20"/>
              </w:rPr>
            </w:pPr>
            <w:r w:rsidRPr="00755787">
              <w:rPr>
                <w:rFonts w:cstheme="minorHAnsi"/>
                <w:szCs w:val="20"/>
              </w:rPr>
              <w:t>1</w:t>
            </w:r>
            <w:r w:rsidR="00BF3D15">
              <w:rPr>
                <w:rFonts w:cstheme="minorHAnsi"/>
                <w:szCs w:val="20"/>
              </w:rPr>
              <w:t>0</w:t>
            </w:r>
            <w:r w:rsidRPr="00755787">
              <w:rPr>
                <w:rFonts w:cstheme="minorHAnsi"/>
                <w:szCs w:val="20"/>
              </w:rPr>
              <w:t>%</w:t>
            </w:r>
          </w:p>
        </w:tc>
        <w:tc>
          <w:tcPr>
            <w:tcW w:w="0" w:type="auto"/>
            <w:tcBorders>
              <w:top w:val="single" w:sz="2" w:space="0" w:color="BFBFBF" w:themeColor="background1" w:themeShade="BF"/>
              <w:bottom w:val="nil"/>
            </w:tcBorders>
            <w:vAlign w:val="center"/>
          </w:tcPr>
          <w:p w14:paraId="667577A2" w14:textId="4F262F4E" w:rsidR="00670688" w:rsidRPr="00755787" w:rsidRDefault="00BF3D15" w:rsidP="00947FA0">
            <w:pPr>
              <w:spacing w:after="0" w:line="240" w:lineRule="auto"/>
              <w:jc w:val="center"/>
              <w:rPr>
                <w:rFonts w:cstheme="minorHAnsi"/>
                <w:szCs w:val="20"/>
              </w:rPr>
            </w:pPr>
            <w:r>
              <w:rPr>
                <w:rFonts w:cstheme="minorHAnsi"/>
                <w:szCs w:val="20"/>
              </w:rPr>
              <w:t>10</w:t>
            </w:r>
            <w:r w:rsidR="00670688" w:rsidRPr="00755787">
              <w:rPr>
                <w:rFonts w:cstheme="minorHAnsi"/>
                <w:szCs w:val="20"/>
              </w:rPr>
              <w:t>%</w:t>
            </w:r>
          </w:p>
        </w:tc>
        <w:tc>
          <w:tcPr>
            <w:tcW w:w="0" w:type="auto"/>
            <w:tcBorders>
              <w:top w:val="single" w:sz="2" w:space="0" w:color="BFBFBF" w:themeColor="background1" w:themeShade="BF"/>
              <w:bottom w:val="nil"/>
            </w:tcBorders>
            <w:vAlign w:val="center"/>
          </w:tcPr>
          <w:p w14:paraId="437B69DA" w14:textId="7CF126FC" w:rsidR="00670688" w:rsidRPr="00755787" w:rsidRDefault="00670688" w:rsidP="00947FA0">
            <w:pPr>
              <w:spacing w:after="0" w:line="240" w:lineRule="auto"/>
              <w:jc w:val="center"/>
              <w:rPr>
                <w:rFonts w:cstheme="minorHAnsi"/>
                <w:szCs w:val="20"/>
              </w:rPr>
            </w:pPr>
            <w:r w:rsidRPr="00755787">
              <w:rPr>
                <w:rFonts w:cstheme="minorHAnsi"/>
                <w:szCs w:val="20"/>
              </w:rPr>
              <w:t>1</w:t>
            </w:r>
            <w:r w:rsidR="00BF3D15">
              <w:rPr>
                <w:rFonts w:cstheme="minorHAnsi"/>
                <w:szCs w:val="20"/>
              </w:rPr>
              <w:t>3</w:t>
            </w:r>
            <w:r w:rsidRPr="00755787">
              <w:rPr>
                <w:rFonts w:cstheme="minorHAnsi"/>
                <w:szCs w:val="20"/>
              </w:rPr>
              <w:t>%</w:t>
            </w:r>
          </w:p>
        </w:tc>
        <w:tc>
          <w:tcPr>
            <w:tcW w:w="0" w:type="auto"/>
            <w:tcBorders>
              <w:top w:val="single" w:sz="2" w:space="0" w:color="BFBFBF" w:themeColor="background1" w:themeShade="BF"/>
              <w:bottom w:val="nil"/>
            </w:tcBorders>
            <w:vAlign w:val="center"/>
          </w:tcPr>
          <w:p w14:paraId="7098AE87" w14:textId="5F2FB3A9" w:rsidR="00670688" w:rsidRPr="00755787" w:rsidRDefault="00BF3D15" w:rsidP="00947FA0">
            <w:pPr>
              <w:spacing w:after="0" w:line="240" w:lineRule="auto"/>
              <w:jc w:val="center"/>
              <w:rPr>
                <w:rFonts w:cstheme="minorHAnsi"/>
                <w:szCs w:val="20"/>
              </w:rPr>
            </w:pPr>
            <w:r>
              <w:rPr>
                <w:rFonts w:cstheme="minorHAnsi"/>
                <w:szCs w:val="20"/>
              </w:rPr>
              <w:t>2</w:t>
            </w:r>
            <w:r w:rsidR="00670688" w:rsidRPr="00755787">
              <w:rPr>
                <w:rFonts w:cstheme="minorHAnsi"/>
                <w:szCs w:val="20"/>
              </w:rPr>
              <w:t>%</w:t>
            </w:r>
          </w:p>
        </w:tc>
        <w:tc>
          <w:tcPr>
            <w:tcW w:w="0" w:type="auto"/>
            <w:tcBorders>
              <w:top w:val="single" w:sz="2" w:space="0" w:color="BFBFBF" w:themeColor="background1" w:themeShade="BF"/>
              <w:bottom w:val="nil"/>
            </w:tcBorders>
            <w:vAlign w:val="center"/>
          </w:tcPr>
          <w:p w14:paraId="2C6C652F" w14:textId="22C6D8C6" w:rsidR="00670688" w:rsidRPr="00755787" w:rsidRDefault="00BF3D15" w:rsidP="00947FA0">
            <w:pPr>
              <w:spacing w:after="0" w:line="240" w:lineRule="auto"/>
              <w:jc w:val="center"/>
              <w:rPr>
                <w:rFonts w:cstheme="minorHAnsi"/>
                <w:szCs w:val="20"/>
              </w:rPr>
            </w:pPr>
            <w:r>
              <w:rPr>
                <w:rFonts w:cstheme="minorHAnsi"/>
                <w:szCs w:val="20"/>
              </w:rPr>
              <w:t>8</w:t>
            </w:r>
            <w:r w:rsidR="00670688" w:rsidRPr="00755787">
              <w:rPr>
                <w:rFonts w:cstheme="minorHAnsi"/>
                <w:szCs w:val="20"/>
              </w:rPr>
              <w:t>%</w:t>
            </w:r>
          </w:p>
        </w:tc>
        <w:tc>
          <w:tcPr>
            <w:tcW w:w="0" w:type="auto"/>
            <w:tcBorders>
              <w:top w:val="single" w:sz="2" w:space="0" w:color="BFBFBF" w:themeColor="background1" w:themeShade="BF"/>
              <w:bottom w:val="nil"/>
            </w:tcBorders>
            <w:vAlign w:val="center"/>
          </w:tcPr>
          <w:p w14:paraId="55728487" w14:textId="4D0C998E" w:rsidR="00670688" w:rsidRPr="00755787" w:rsidRDefault="00BF3D15" w:rsidP="00947FA0">
            <w:pPr>
              <w:spacing w:after="0" w:line="240" w:lineRule="auto"/>
              <w:jc w:val="center"/>
              <w:rPr>
                <w:rFonts w:cstheme="minorHAnsi"/>
                <w:szCs w:val="20"/>
              </w:rPr>
            </w:pPr>
            <w:r>
              <w:rPr>
                <w:rFonts w:cstheme="minorHAnsi"/>
                <w:szCs w:val="20"/>
              </w:rPr>
              <w:t>15</w:t>
            </w:r>
            <w:r w:rsidR="00670688" w:rsidRPr="00755787">
              <w:rPr>
                <w:rFonts w:cstheme="minorHAnsi"/>
                <w:szCs w:val="20"/>
              </w:rPr>
              <w:t>%</w:t>
            </w:r>
          </w:p>
        </w:tc>
        <w:tc>
          <w:tcPr>
            <w:tcW w:w="0" w:type="auto"/>
            <w:tcBorders>
              <w:top w:val="single" w:sz="2" w:space="0" w:color="BFBFBF" w:themeColor="background1" w:themeShade="BF"/>
              <w:bottom w:val="nil"/>
            </w:tcBorders>
            <w:shd w:val="clear" w:color="auto" w:fill="auto"/>
            <w:noWrap/>
            <w:vAlign w:val="center"/>
          </w:tcPr>
          <w:p w14:paraId="1DAEAB22" w14:textId="7B25E554" w:rsidR="00670688" w:rsidRPr="00755787" w:rsidRDefault="00670688" w:rsidP="00947FA0">
            <w:pPr>
              <w:spacing w:after="0" w:line="240" w:lineRule="auto"/>
              <w:jc w:val="center"/>
              <w:rPr>
                <w:rFonts w:cstheme="minorHAnsi"/>
                <w:szCs w:val="20"/>
              </w:rPr>
            </w:pPr>
            <w:r w:rsidRPr="00755787">
              <w:rPr>
                <w:rFonts w:cstheme="minorHAnsi"/>
                <w:szCs w:val="20"/>
              </w:rPr>
              <w:t>1</w:t>
            </w:r>
            <w:r w:rsidR="00BF3D15">
              <w:rPr>
                <w:rFonts w:cstheme="minorHAnsi"/>
                <w:szCs w:val="20"/>
              </w:rPr>
              <w:t>4</w:t>
            </w:r>
            <w:r w:rsidRPr="00755787">
              <w:rPr>
                <w:rFonts w:cstheme="minorHAnsi"/>
                <w:szCs w:val="20"/>
              </w:rPr>
              <w:t>%</w:t>
            </w:r>
          </w:p>
        </w:tc>
        <w:tc>
          <w:tcPr>
            <w:tcW w:w="0" w:type="auto"/>
            <w:tcBorders>
              <w:top w:val="single" w:sz="2" w:space="0" w:color="BFBFBF" w:themeColor="background1" w:themeShade="BF"/>
              <w:bottom w:val="nil"/>
            </w:tcBorders>
            <w:vAlign w:val="center"/>
          </w:tcPr>
          <w:p w14:paraId="6F4EE469" w14:textId="25B73B3A" w:rsidR="00670688" w:rsidRPr="00755787" w:rsidRDefault="00080773" w:rsidP="00947FA0">
            <w:pPr>
              <w:spacing w:after="0" w:line="240" w:lineRule="auto"/>
              <w:jc w:val="center"/>
              <w:rPr>
                <w:rFonts w:cstheme="minorHAnsi"/>
                <w:szCs w:val="20"/>
              </w:rPr>
            </w:pPr>
            <w:r w:rsidRPr="00755787">
              <w:rPr>
                <w:rFonts w:cstheme="minorHAnsi"/>
                <w:szCs w:val="20"/>
              </w:rPr>
              <w:t>8</w:t>
            </w:r>
            <w:r w:rsidR="00670688" w:rsidRPr="00755787">
              <w:rPr>
                <w:rFonts w:cstheme="minorHAnsi"/>
                <w:szCs w:val="20"/>
              </w:rPr>
              <w:t>%</w:t>
            </w:r>
          </w:p>
        </w:tc>
      </w:tr>
      <w:tr w:rsidR="0097136A" w:rsidRPr="00F4455B" w14:paraId="0CDDE492" w14:textId="77777777" w:rsidTr="0097136A">
        <w:trPr>
          <w:trHeight w:val="392"/>
          <w:jc w:val="center"/>
        </w:trPr>
        <w:tc>
          <w:tcPr>
            <w:tcW w:w="1890" w:type="dxa"/>
            <w:tcBorders>
              <w:top w:val="single" w:sz="2" w:space="0" w:color="BFBFBF" w:themeColor="background1" w:themeShade="BF"/>
              <w:bottom w:val="single" w:sz="2" w:space="0" w:color="BFBFBF" w:themeColor="background1" w:themeShade="BF"/>
            </w:tcBorders>
            <w:shd w:val="clear" w:color="auto" w:fill="444444" w:themeFill="text1" w:themeFillTint="E6"/>
            <w:noWrap/>
            <w:vAlign w:val="center"/>
          </w:tcPr>
          <w:p w14:paraId="2E410FD2" w14:textId="39289496" w:rsidR="00670688" w:rsidRPr="0097136A" w:rsidRDefault="00670688" w:rsidP="00947FA0">
            <w:pPr>
              <w:spacing w:after="0" w:line="240" w:lineRule="auto"/>
              <w:jc w:val="right"/>
              <w:rPr>
                <w:rFonts w:ascii="Segoe UI Semibold" w:hAnsi="Segoe UI Semibold" w:cs="Segoe UI Semibold"/>
                <w:bCs/>
                <w:color w:val="FFFFFF" w:themeColor="background1"/>
                <w:szCs w:val="20"/>
              </w:rPr>
            </w:pPr>
            <w:r w:rsidRPr="0097136A">
              <w:rPr>
                <w:rFonts w:ascii="Segoe UI Semibold" w:hAnsi="Segoe UI Semibold" w:cs="Segoe UI Semibold"/>
                <w:bCs/>
                <w:color w:val="FFFFFF" w:themeColor="background1"/>
                <w:szCs w:val="20"/>
              </w:rPr>
              <w:t>NET No usual place of care/ER</w:t>
            </w:r>
          </w:p>
        </w:tc>
        <w:tc>
          <w:tcPr>
            <w:tcW w:w="855" w:type="dxa"/>
            <w:tcBorders>
              <w:top w:val="nil"/>
              <w:bottom w:val="single" w:sz="2" w:space="0" w:color="BFBFBF" w:themeColor="background1" w:themeShade="BF"/>
            </w:tcBorders>
            <w:shd w:val="clear" w:color="auto" w:fill="D9D9D9" w:themeFill="background1" w:themeFillShade="D9"/>
            <w:vAlign w:val="center"/>
          </w:tcPr>
          <w:p w14:paraId="1108BCE4" w14:textId="1651B2E6" w:rsidR="00670688" w:rsidRPr="00755787" w:rsidRDefault="00670688" w:rsidP="00947FA0">
            <w:pPr>
              <w:spacing w:after="0" w:line="240" w:lineRule="auto"/>
              <w:jc w:val="center"/>
              <w:rPr>
                <w:rFonts w:ascii="Segoe UI Semibold" w:hAnsi="Segoe UI Semibold" w:cs="Segoe UI Semibold"/>
                <w:bCs/>
                <w:szCs w:val="20"/>
              </w:rPr>
            </w:pPr>
            <w:r w:rsidRPr="00755787">
              <w:rPr>
                <w:rFonts w:ascii="Segoe UI Semibold" w:hAnsi="Segoe UI Semibold" w:cs="Segoe UI Semibold"/>
                <w:bCs/>
                <w:szCs w:val="20"/>
              </w:rPr>
              <w:t>21%</w:t>
            </w:r>
          </w:p>
        </w:tc>
        <w:tc>
          <w:tcPr>
            <w:tcW w:w="0" w:type="auto"/>
            <w:tcBorders>
              <w:top w:val="nil"/>
              <w:bottom w:val="single" w:sz="2" w:space="0" w:color="BFBFBF" w:themeColor="background1" w:themeShade="BF"/>
            </w:tcBorders>
            <w:shd w:val="clear" w:color="auto" w:fill="D9D9D9" w:themeFill="background1" w:themeFillShade="D9"/>
            <w:vAlign w:val="center"/>
          </w:tcPr>
          <w:p w14:paraId="174322E4" w14:textId="5B51894F" w:rsidR="00670688" w:rsidRPr="00755787" w:rsidRDefault="00670688" w:rsidP="00947FA0">
            <w:pPr>
              <w:spacing w:after="0" w:line="240" w:lineRule="auto"/>
              <w:jc w:val="center"/>
              <w:rPr>
                <w:rFonts w:ascii="Segoe UI Semibold" w:hAnsi="Segoe UI Semibold" w:cs="Segoe UI Semibold"/>
                <w:bCs/>
                <w:szCs w:val="20"/>
              </w:rPr>
            </w:pPr>
            <w:r w:rsidRPr="00755787">
              <w:rPr>
                <w:rFonts w:ascii="Segoe UI Semibold" w:hAnsi="Segoe UI Semibold" w:cs="Segoe UI Semibold"/>
                <w:bCs/>
                <w:szCs w:val="20"/>
              </w:rPr>
              <w:t>2</w:t>
            </w:r>
            <w:r w:rsidR="00C7207E">
              <w:rPr>
                <w:rFonts w:ascii="Segoe UI Semibold" w:hAnsi="Segoe UI Semibold" w:cs="Segoe UI Semibold"/>
                <w:bCs/>
                <w:szCs w:val="20"/>
              </w:rPr>
              <w:t>3</w:t>
            </w:r>
            <w:r w:rsidRPr="00755787">
              <w:rPr>
                <w:rFonts w:ascii="Segoe UI Semibold" w:hAnsi="Segoe UI Semibold" w:cs="Segoe UI Semibold"/>
                <w:bCs/>
                <w:szCs w:val="20"/>
              </w:rPr>
              <w:t>%</w:t>
            </w:r>
          </w:p>
        </w:tc>
        <w:tc>
          <w:tcPr>
            <w:tcW w:w="0" w:type="auto"/>
            <w:tcBorders>
              <w:top w:val="nil"/>
              <w:bottom w:val="single" w:sz="2" w:space="0" w:color="BFBFBF" w:themeColor="background1" w:themeShade="BF"/>
            </w:tcBorders>
            <w:shd w:val="clear" w:color="auto" w:fill="D9D9D9" w:themeFill="background1" w:themeFillShade="D9"/>
            <w:vAlign w:val="center"/>
          </w:tcPr>
          <w:p w14:paraId="059E30D1" w14:textId="0A78E5E6" w:rsidR="00670688" w:rsidRPr="00755787" w:rsidRDefault="00C7207E" w:rsidP="00947FA0">
            <w:pPr>
              <w:spacing w:after="0" w:line="240" w:lineRule="auto"/>
              <w:jc w:val="center"/>
              <w:rPr>
                <w:rFonts w:ascii="Segoe UI Semibold" w:hAnsi="Segoe UI Semibold" w:cs="Segoe UI Semibold"/>
                <w:bCs/>
                <w:szCs w:val="20"/>
              </w:rPr>
            </w:pPr>
            <w:r>
              <w:rPr>
                <w:rFonts w:ascii="Segoe UI Semibold" w:hAnsi="Segoe UI Semibold" w:cs="Segoe UI Semibold"/>
                <w:bCs/>
                <w:szCs w:val="20"/>
              </w:rPr>
              <w:t>38</w:t>
            </w:r>
            <w:r w:rsidR="00670688" w:rsidRPr="00755787">
              <w:rPr>
                <w:rFonts w:ascii="Segoe UI Semibold" w:hAnsi="Segoe UI Semibold" w:cs="Segoe UI Semibold"/>
                <w:bCs/>
                <w:szCs w:val="20"/>
              </w:rPr>
              <w:t>%</w:t>
            </w:r>
          </w:p>
        </w:tc>
        <w:tc>
          <w:tcPr>
            <w:tcW w:w="0" w:type="auto"/>
            <w:tcBorders>
              <w:top w:val="nil"/>
              <w:bottom w:val="single" w:sz="2" w:space="0" w:color="BFBFBF" w:themeColor="background1" w:themeShade="BF"/>
            </w:tcBorders>
            <w:shd w:val="clear" w:color="auto" w:fill="D9D9D9" w:themeFill="background1" w:themeFillShade="D9"/>
            <w:vAlign w:val="center"/>
          </w:tcPr>
          <w:p w14:paraId="20C366F1" w14:textId="50B1EF07" w:rsidR="00670688" w:rsidRPr="00755787" w:rsidRDefault="00670688" w:rsidP="00947FA0">
            <w:pPr>
              <w:spacing w:after="0" w:line="240" w:lineRule="auto"/>
              <w:jc w:val="center"/>
              <w:rPr>
                <w:rFonts w:ascii="Segoe UI Semibold" w:hAnsi="Segoe UI Semibold" w:cs="Segoe UI Semibold"/>
                <w:bCs/>
                <w:szCs w:val="20"/>
              </w:rPr>
            </w:pPr>
            <w:r w:rsidRPr="00755787">
              <w:rPr>
                <w:rFonts w:ascii="Segoe UI Semibold" w:hAnsi="Segoe UI Semibold" w:cs="Segoe UI Semibold"/>
                <w:bCs/>
                <w:szCs w:val="20"/>
              </w:rPr>
              <w:t>2</w:t>
            </w:r>
            <w:r w:rsidR="00C7207E">
              <w:rPr>
                <w:rFonts w:ascii="Segoe UI Semibold" w:hAnsi="Segoe UI Semibold" w:cs="Segoe UI Semibold"/>
                <w:bCs/>
                <w:szCs w:val="20"/>
              </w:rPr>
              <w:t>6</w:t>
            </w:r>
            <w:r w:rsidRPr="00755787">
              <w:rPr>
                <w:rFonts w:ascii="Segoe UI Semibold" w:hAnsi="Segoe UI Semibold" w:cs="Segoe UI Semibold"/>
                <w:bCs/>
                <w:szCs w:val="20"/>
              </w:rPr>
              <w:t>%</w:t>
            </w:r>
          </w:p>
        </w:tc>
        <w:tc>
          <w:tcPr>
            <w:tcW w:w="0" w:type="auto"/>
            <w:tcBorders>
              <w:top w:val="nil"/>
              <w:bottom w:val="single" w:sz="2" w:space="0" w:color="BFBFBF" w:themeColor="background1" w:themeShade="BF"/>
            </w:tcBorders>
            <w:shd w:val="clear" w:color="auto" w:fill="D9D9D9" w:themeFill="background1" w:themeFillShade="D9"/>
            <w:vAlign w:val="center"/>
          </w:tcPr>
          <w:p w14:paraId="0350FB0E" w14:textId="10BA2B4B" w:rsidR="00670688" w:rsidRPr="00755787" w:rsidRDefault="00C7207E" w:rsidP="00947FA0">
            <w:pPr>
              <w:spacing w:after="0" w:line="240" w:lineRule="auto"/>
              <w:jc w:val="center"/>
              <w:rPr>
                <w:rFonts w:ascii="Segoe UI Semibold" w:hAnsi="Segoe UI Semibold" w:cs="Segoe UI Semibold"/>
                <w:bCs/>
                <w:szCs w:val="20"/>
              </w:rPr>
            </w:pPr>
            <w:r>
              <w:rPr>
                <w:rFonts w:ascii="Segoe UI Semibold" w:hAnsi="Segoe UI Semibold" w:cs="Segoe UI Semibold"/>
                <w:bCs/>
                <w:szCs w:val="20"/>
              </w:rPr>
              <w:t>39</w:t>
            </w:r>
            <w:r w:rsidR="00670688" w:rsidRPr="00755787">
              <w:rPr>
                <w:rFonts w:ascii="Segoe UI Semibold" w:hAnsi="Segoe UI Semibold" w:cs="Segoe UI Semibold"/>
                <w:bCs/>
                <w:szCs w:val="20"/>
              </w:rPr>
              <w:t>%</w:t>
            </w:r>
          </w:p>
        </w:tc>
        <w:tc>
          <w:tcPr>
            <w:tcW w:w="0" w:type="auto"/>
            <w:tcBorders>
              <w:top w:val="nil"/>
              <w:bottom w:val="single" w:sz="2" w:space="0" w:color="BFBFBF" w:themeColor="background1" w:themeShade="BF"/>
            </w:tcBorders>
            <w:shd w:val="clear" w:color="auto" w:fill="D9D9D9" w:themeFill="background1" w:themeFillShade="D9"/>
            <w:vAlign w:val="center"/>
          </w:tcPr>
          <w:p w14:paraId="54BBF0D9" w14:textId="28124D24" w:rsidR="00670688" w:rsidRPr="00755787" w:rsidRDefault="00670688" w:rsidP="00947FA0">
            <w:pPr>
              <w:spacing w:after="0" w:line="240" w:lineRule="auto"/>
              <w:jc w:val="center"/>
              <w:rPr>
                <w:rFonts w:ascii="Segoe UI Semibold" w:hAnsi="Segoe UI Semibold" w:cs="Segoe UI Semibold"/>
                <w:bCs/>
                <w:szCs w:val="20"/>
              </w:rPr>
            </w:pPr>
            <w:r w:rsidRPr="00755787">
              <w:rPr>
                <w:rFonts w:ascii="Segoe UI Semibold" w:hAnsi="Segoe UI Semibold" w:cs="Segoe UI Semibold"/>
                <w:bCs/>
                <w:szCs w:val="20"/>
              </w:rPr>
              <w:t>4</w:t>
            </w:r>
            <w:r w:rsidR="00C7207E">
              <w:rPr>
                <w:rFonts w:ascii="Segoe UI Semibold" w:hAnsi="Segoe UI Semibold" w:cs="Segoe UI Semibold"/>
                <w:bCs/>
                <w:szCs w:val="20"/>
              </w:rPr>
              <w:t>0</w:t>
            </w:r>
            <w:r w:rsidRPr="00755787">
              <w:rPr>
                <w:rFonts w:ascii="Segoe UI Semibold" w:hAnsi="Segoe UI Semibold" w:cs="Segoe UI Semibold"/>
                <w:bCs/>
                <w:szCs w:val="20"/>
              </w:rPr>
              <w:t>%</w:t>
            </w:r>
          </w:p>
        </w:tc>
        <w:tc>
          <w:tcPr>
            <w:tcW w:w="0" w:type="auto"/>
            <w:tcBorders>
              <w:top w:val="nil"/>
              <w:bottom w:val="single" w:sz="2" w:space="0" w:color="BFBFBF" w:themeColor="background1" w:themeShade="BF"/>
            </w:tcBorders>
            <w:shd w:val="clear" w:color="auto" w:fill="D9D9D9" w:themeFill="background1" w:themeFillShade="D9"/>
            <w:vAlign w:val="center"/>
          </w:tcPr>
          <w:p w14:paraId="4913877B" w14:textId="104D9A4A" w:rsidR="00670688" w:rsidRPr="00755787" w:rsidRDefault="00670688" w:rsidP="00947FA0">
            <w:pPr>
              <w:spacing w:after="0" w:line="240" w:lineRule="auto"/>
              <w:jc w:val="center"/>
              <w:rPr>
                <w:rFonts w:ascii="Segoe UI Semibold" w:hAnsi="Segoe UI Semibold" w:cs="Segoe UI Semibold"/>
                <w:bCs/>
                <w:szCs w:val="20"/>
              </w:rPr>
            </w:pPr>
            <w:r w:rsidRPr="00755787">
              <w:rPr>
                <w:rFonts w:ascii="Segoe UI Semibold" w:hAnsi="Segoe UI Semibold" w:cs="Segoe UI Semibold"/>
                <w:bCs/>
                <w:szCs w:val="20"/>
              </w:rPr>
              <w:t>1</w:t>
            </w:r>
            <w:r w:rsidR="00C7207E">
              <w:rPr>
                <w:rFonts w:ascii="Segoe UI Semibold" w:hAnsi="Segoe UI Semibold" w:cs="Segoe UI Semibold"/>
                <w:bCs/>
                <w:szCs w:val="20"/>
              </w:rPr>
              <w:t>8</w:t>
            </w:r>
            <w:r w:rsidRPr="00755787">
              <w:rPr>
                <w:rFonts w:ascii="Segoe UI Semibold" w:hAnsi="Segoe UI Semibold" w:cs="Segoe UI Semibold"/>
                <w:bCs/>
                <w:szCs w:val="20"/>
              </w:rPr>
              <w:t>%</w:t>
            </w:r>
          </w:p>
        </w:tc>
        <w:tc>
          <w:tcPr>
            <w:tcW w:w="0" w:type="auto"/>
            <w:tcBorders>
              <w:top w:val="nil"/>
              <w:bottom w:val="single" w:sz="2" w:space="0" w:color="BFBFBF" w:themeColor="background1" w:themeShade="BF"/>
            </w:tcBorders>
            <w:shd w:val="clear" w:color="auto" w:fill="D9D9D9" w:themeFill="background1" w:themeFillShade="D9"/>
            <w:noWrap/>
            <w:vAlign w:val="center"/>
          </w:tcPr>
          <w:p w14:paraId="6B6667F1" w14:textId="630610B0" w:rsidR="00670688" w:rsidRPr="00755787" w:rsidRDefault="00670688" w:rsidP="00947FA0">
            <w:pPr>
              <w:spacing w:after="0" w:line="240" w:lineRule="auto"/>
              <w:jc w:val="center"/>
              <w:rPr>
                <w:rFonts w:ascii="Segoe UI Semibold" w:hAnsi="Segoe UI Semibold" w:cs="Segoe UI Semibold"/>
                <w:bCs/>
                <w:szCs w:val="20"/>
              </w:rPr>
            </w:pPr>
            <w:r w:rsidRPr="00755787">
              <w:rPr>
                <w:rFonts w:ascii="Segoe UI Semibold" w:hAnsi="Segoe UI Semibold" w:cs="Segoe UI Semibold"/>
                <w:bCs/>
                <w:szCs w:val="20"/>
              </w:rPr>
              <w:t>2</w:t>
            </w:r>
            <w:r w:rsidR="00C7207E">
              <w:rPr>
                <w:rFonts w:ascii="Segoe UI Semibold" w:hAnsi="Segoe UI Semibold" w:cs="Segoe UI Semibold"/>
                <w:bCs/>
                <w:szCs w:val="20"/>
              </w:rPr>
              <w:t>5</w:t>
            </w:r>
            <w:r w:rsidRPr="00755787">
              <w:rPr>
                <w:rFonts w:ascii="Segoe UI Semibold" w:hAnsi="Segoe UI Semibold" w:cs="Segoe UI Semibold"/>
                <w:bCs/>
                <w:szCs w:val="20"/>
              </w:rPr>
              <w:t>%</w:t>
            </w:r>
          </w:p>
        </w:tc>
        <w:tc>
          <w:tcPr>
            <w:tcW w:w="0" w:type="auto"/>
            <w:tcBorders>
              <w:top w:val="nil"/>
              <w:bottom w:val="single" w:sz="2" w:space="0" w:color="BFBFBF" w:themeColor="background1" w:themeShade="BF"/>
            </w:tcBorders>
            <w:shd w:val="clear" w:color="auto" w:fill="D9D9D9" w:themeFill="background1" w:themeFillShade="D9"/>
            <w:vAlign w:val="center"/>
          </w:tcPr>
          <w:p w14:paraId="52AE8980" w14:textId="71DBFF11" w:rsidR="00670688" w:rsidRPr="00755787" w:rsidRDefault="00C7207E" w:rsidP="00947FA0">
            <w:pPr>
              <w:spacing w:after="0" w:line="240" w:lineRule="auto"/>
              <w:jc w:val="center"/>
              <w:rPr>
                <w:rFonts w:ascii="Segoe UI Semibold" w:hAnsi="Segoe UI Semibold" w:cs="Segoe UI Semibold"/>
                <w:bCs/>
                <w:szCs w:val="20"/>
              </w:rPr>
            </w:pPr>
            <w:r>
              <w:rPr>
                <w:rFonts w:ascii="Segoe UI Semibold" w:hAnsi="Segoe UI Semibold" w:cs="Segoe UI Semibold"/>
                <w:bCs/>
                <w:szCs w:val="20"/>
              </w:rPr>
              <w:t>48</w:t>
            </w:r>
            <w:r w:rsidR="00670688" w:rsidRPr="00755787">
              <w:rPr>
                <w:rFonts w:ascii="Segoe UI Semibold" w:hAnsi="Segoe UI Semibold" w:cs="Segoe UI Semibold"/>
                <w:bCs/>
                <w:szCs w:val="20"/>
              </w:rPr>
              <w:t>%</w:t>
            </w:r>
          </w:p>
        </w:tc>
      </w:tr>
      <w:tr w:rsidR="0097136A" w:rsidRPr="00F4455B" w14:paraId="7011B58F" w14:textId="77777777" w:rsidTr="0097136A">
        <w:trPr>
          <w:trHeight w:val="392"/>
          <w:jc w:val="center"/>
        </w:trPr>
        <w:tc>
          <w:tcPr>
            <w:tcW w:w="1890" w:type="dxa"/>
            <w:tcBorders>
              <w:top w:val="single" w:sz="2" w:space="0" w:color="BFBFBF" w:themeColor="background1" w:themeShade="BF"/>
              <w:bottom w:val="single" w:sz="2" w:space="0" w:color="BFBFBF" w:themeColor="background1" w:themeShade="BF"/>
            </w:tcBorders>
            <w:shd w:val="clear" w:color="auto" w:fill="444444" w:themeFill="text1" w:themeFillTint="E6"/>
            <w:noWrap/>
            <w:vAlign w:val="center"/>
          </w:tcPr>
          <w:p w14:paraId="000C7748" w14:textId="5220C113" w:rsidR="00670688" w:rsidRPr="00B30ADA" w:rsidRDefault="00670688" w:rsidP="00947FA0">
            <w:pPr>
              <w:spacing w:after="0" w:line="240" w:lineRule="auto"/>
              <w:jc w:val="right"/>
              <w:rPr>
                <w:rFonts w:cstheme="minorHAnsi"/>
                <w:i/>
                <w:iCs/>
                <w:color w:val="FFFFFF" w:themeColor="background1"/>
                <w:szCs w:val="20"/>
              </w:rPr>
            </w:pPr>
            <w:r w:rsidRPr="00B30ADA">
              <w:rPr>
                <w:rFonts w:cstheme="minorHAnsi"/>
                <w:i/>
                <w:iCs/>
                <w:color w:val="FFFFFF" w:themeColor="background1"/>
                <w:szCs w:val="20"/>
              </w:rPr>
              <w:t>Emergency room</w:t>
            </w:r>
          </w:p>
        </w:tc>
        <w:tc>
          <w:tcPr>
            <w:tcW w:w="855" w:type="dxa"/>
            <w:tcBorders>
              <w:top w:val="single" w:sz="2" w:space="0" w:color="BFBFBF" w:themeColor="background1" w:themeShade="BF"/>
              <w:bottom w:val="single" w:sz="2" w:space="0" w:color="BFBFBF" w:themeColor="background1" w:themeShade="BF"/>
            </w:tcBorders>
            <w:shd w:val="clear" w:color="auto" w:fill="auto"/>
            <w:vAlign w:val="center"/>
          </w:tcPr>
          <w:p w14:paraId="7948B76E" w14:textId="66D359BA" w:rsidR="00670688" w:rsidRPr="00755787" w:rsidRDefault="00C7207E" w:rsidP="00947FA0">
            <w:pPr>
              <w:spacing w:after="0" w:line="240" w:lineRule="auto"/>
              <w:jc w:val="center"/>
              <w:rPr>
                <w:rFonts w:cstheme="minorHAnsi"/>
                <w:szCs w:val="20"/>
              </w:rPr>
            </w:pPr>
            <w:r>
              <w:rPr>
                <w:rFonts w:cstheme="minorHAnsi"/>
                <w:szCs w:val="20"/>
              </w:rPr>
              <w:t>2</w:t>
            </w:r>
            <w:r w:rsidR="00670688" w:rsidRPr="00755787">
              <w:rPr>
                <w:rFonts w:cstheme="minorHAnsi"/>
                <w:szCs w:val="20"/>
              </w:rPr>
              <w:t>%</w:t>
            </w:r>
          </w:p>
        </w:tc>
        <w:tc>
          <w:tcPr>
            <w:tcW w:w="0" w:type="auto"/>
            <w:tcBorders>
              <w:top w:val="single" w:sz="2" w:space="0" w:color="BFBFBF" w:themeColor="background1" w:themeShade="BF"/>
              <w:bottom w:val="single" w:sz="2" w:space="0" w:color="BFBFBF" w:themeColor="background1" w:themeShade="BF"/>
            </w:tcBorders>
            <w:shd w:val="clear" w:color="auto" w:fill="auto"/>
            <w:vAlign w:val="center"/>
          </w:tcPr>
          <w:p w14:paraId="75B1F297" w14:textId="50D72231" w:rsidR="00670688" w:rsidRPr="00755787" w:rsidRDefault="00C7207E" w:rsidP="00947FA0">
            <w:pPr>
              <w:spacing w:after="0" w:line="240" w:lineRule="auto"/>
              <w:jc w:val="center"/>
              <w:rPr>
                <w:rFonts w:cstheme="minorHAnsi"/>
                <w:szCs w:val="20"/>
              </w:rPr>
            </w:pPr>
            <w:r>
              <w:rPr>
                <w:rFonts w:cstheme="minorHAnsi"/>
                <w:szCs w:val="20"/>
              </w:rPr>
              <w:t>6</w:t>
            </w:r>
            <w:r w:rsidR="00670688" w:rsidRPr="00755787">
              <w:rPr>
                <w:rFonts w:cstheme="minorHAnsi"/>
                <w:szCs w:val="20"/>
              </w:rPr>
              <w:t>%</w:t>
            </w:r>
          </w:p>
        </w:tc>
        <w:tc>
          <w:tcPr>
            <w:tcW w:w="0" w:type="auto"/>
            <w:tcBorders>
              <w:top w:val="single" w:sz="2" w:space="0" w:color="BFBFBF" w:themeColor="background1" w:themeShade="BF"/>
              <w:bottom w:val="single" w:sz="2" w:space="0" w:color="BFBFBF" w:themeColor="background1" w:themeShade="BF"/>
            </w:tcBorders>
            <w:shd w:val="clear" w:color="auto" w:fill="auto"/>
            <w:vAlign w:val="center"/>
          </w:tcPr>
          <w:p w14:paraId="46B48D9B" w14:textId="1ED2C113" w:rsidR="00670688" w:rsidRPr="00755787" w:rsidRDefault="00C7207E" w:rsidP="00947FA0">
            <w:pPr>
              <w:spacing w:after="0" w:line="240" w:lineRule="auto"/>
              <w:jc w:val="center"/>
              <w:rPr>
                <w:rFonts w:cstheme="minorHAnsi"/>
                <w:szCs w:val="20"/>
              </w:rPr>
            </w:pPr>
            <w:r>
              <w:rPr>
                <w:rFonts w:cstheme="minorHAnsi"/>
                <w:szCs w:val="20"/>
              </w:rPr>
              <w:t>5</w:t>
            </w:r>
            <w:r w:rsidR="00670688" w:rsidRPr="00755787">
              <w:rPr>
                <w:rFonts w:cstheme="minorHAnsi"/>
                <w:szCs w:val="20"/>
              </w:rPr>
              <w:t>%</w:t>
            </w:r>
          </w:p>
        </w:tc>
        <w:tc>
          <w:tcPr>
            <w:tcW w:w="0" w:type="auto"/>
            <w:tcBorders>
              <w:top w:val="single" w:sz="2" w:space="0" w:color="BFBFBF" w:themeColor="background1" w:themeShade="BF"/>
              <w:bottom w:val="single" w:sz="2" w:space="0" w:color="BFBFBF" w:themeColor="background1" w:themeShade="BF"/>
            </w:tcBorders>
            <w:shd w:val="clear" w:color="auto" w:fill="auto"/>
            <w:vAlign w:val="center"/>
          </w:tcPr>
          <w:p w14:paraId="17A94BCD" w14:textId="239B9910" w:rsidR="00670688" w:rsidRPr="00755787" w:rsidRDefault="00670688" w:rsidP="00947FA0">
            <w:pPr>
              <w:spacing w:after="0" w:line="240" w:lineRule="auto"/>
              <w:jc w:val="center"/>
              <w:rPr>
                <w:rFonts w:cstheme="minorHAnsi"/>
                <w:szCs w:val="20"/>
              </w:rPr>
            </w:pPr>
            <w:r w:rsidRPr="00755787">
              <w:rPr>
                <w:rFonts w:cstheme="minorHAnsi"/>
                <w:szCs w:val="20"/>
              </w:rPr>
              <w:t>5%</w:t>
            </w:r>
          </w:p>
        </w:tc>
        <w:tc>
          <w:tcPr>
            <w:tcW w:w="0" w:type="auto"/>
            <w:tcBorders>
              <w:top w:val="single" w:sz="2" w:space="0" w:color="BFBFBF" w:themeColor="background1" w:themeShade="BF"/>
              <w:bottom w:val="single" w:sz="2" w:space="0" w:color="BFBFBF" w:themeColor="background1" w:themeShade="BF"/>
            </w:tcBorders>
            <w:shd w:val="clear" w:color="auto" w:fill="auto"/>
            <w:vAlign w:val="center"/>
          </w:tcPr>
          <w:p w14:paraId="54CDBECE" w14:textId="0DEC4CF6" w:rsidR="00670688" w:rsidRPr="00755787" w:rsidRDefault="00C7207E" w:rsidP="00947FA0">
            <w:pPr>
              <w:spacing w:after="0" w:line="240" w:lineRule="auto"/>
              <w:jc w:val="center"/>
              <w:rPr>
                <w:rFonts w:cstheme="minorHAnsi"/>
                <w:szCs w:val="20"/>
              </w:rPr>
            </w:pPr>
            <w:r>
              <w:rPr>
                <w:rFonts w:cstheme="minorHAnsi"/>
                <w:szCs w:val="20"/>
              </w:rPr>
              <w:t>2</w:t>
            </w:r>
            <w:r w:rsidR="00670688" w:rsidRPr="00755787">
              <w:rPr>
                <w:rFonts w:cstheme="minorHAnsi"/>
                <w:szCs w:val="20"/>
              </w:rPr>
              <w:t>%</w:t>
            </w:r>
          </w:p>
        </w:tc>
        <w:tc>
          <w:tcPr>
            <w:tcW w:w="0" w:type="auto"/>
            <w:tcBorders>
              <w:top w:val="single" w:sz="2" w:space="0" w:color="BFBFBF" w:themeColor="background1" w:themeShade="BF"/>
              <w:bottom w:val="single" w:sz="2" w:space="0" w:color="BFBFBF" w:themeColor="background1" w:themeShade="BF"/>
            </w:tcBorders>
            <w:shd w:val="clear" w:color="auto" w:fill="auto"/>
            <w:vAlign w:val="center"/>
          </w:tcPr>
          <w:p w14:paraId="741DBBAD" w14:textId="6C43C262" w:rsidR="00670688" w:rsidRPr="00755787" w:rsidRDefault="00C7207E" w:rsidP="00947FA0">
            <w:pPr>
              <w:spacing w:after="0" w:line="240" w:lineRule="auto"/>
              <w:jc w:val="center"/>
              <w:rPr>
                <w:rFonts w:cstheme="minorHAnsi"/>
                <w:szCs w:val="20"/>
              </w:rPr>
            </w:pPr>
            <w:r>
              <w:rPr>
                <w:rFonts w:cstheme="minorHAnsi"/>
                <w:szCs w:val="20"/>
              </w:rPr>
              <w:t>7</w:t>
            </w:r>
            <w:r w:rsidR="00670688" w:rsidRPr="00755787">
              <w:rPr>
                <w:rFonts w:cstheme="minorHAnsi"/>
                <w:szCs w:val="20"/>
              </w:rPr>
              <w:t>%</w:t>
            </w:r>
          </w:p>
        </w:tc>
        <w:tc>
          <w:tcPr>
            <w:tcW w:w="0" w:type="auto"/>
            <w:tcBorders>
              <w:top w:val="single" w:sz="2" w:space="0" w:color="BFBFBF" w:themeColor="background1" w:themeShade="BF"/>
              <w:bottom w:val="single" w:sz="2" w:space="0" w:color="BFBFBF" w:themeColor="background1" w:themeShade="BF"/>
            </w:tcBorders>
            <w:shd w:val="clear" w:color="auto" w:fill="auto"/>
            <w:vAlign w:val="center"/>
          </w:tcPr>
          <w:p w14:paraId="33B5C9B2" w14:textId="39D5004F" w:rsidR="00670688" w:rsidRPr="00755787" w:rsidRDefault="00670688" w:rsidP="00947FA0">
            <w:pPr>
              <w:spacing w:after="0" w:line="240" w:lineRule="auto"/>
              <w:jc w:val="center"/>
              <w:rPr>
                <w:rFonts w:cstheme="minorHAnsi"/>
                <w:szCs w:val="20"/>
              </w:rPr>
            </w:pPr>
            <w:r w:rsidRPr="00755787">
              <w:rPr>
                <w:rFonts w:cstheme="minorHAnsi"/>
                <w:szCs w:val="20"/>
              </w:rPr>
              <w:t>2%</w:t>
            </w:r>
          </w:p>
        </w:tc>
        <w:tc>
          <w:tcPr>
            <w:tcW w:w="0" w:type="auto"/>
            <w:tcBorders>
              <w:top w:val="single" w:sz="2" w:space="0" w:color="BFBFBF" w:themeColor="background1" w:themeShade="BF"/>
              <w:bottom w:val="single" w:sz="2" w:space="0" w:color="BFBFBF" w:themeColor="background1" w:themeShade="BF"/>
            </w:tcBorders>
            <w:shd w:val="clear" w:color="auto" w:fill="auto"/>
            <w:noWrap/>
            <w:vAlign w:val="center"/>
          </w:tcPr>
          <w:p w14:paraId="7220B34F" w14:textId="4D8DB055" w:rsidR="00670688" w:rsidRPr="00755787" w:rsidRDefault="00C7207E" w:rsidP="00947FA0">
            <w:pPr>
              <w:spacing w:after="0" w:line="240" w:lineRule="auto"/>
              <w:jc w:val="center"/>
              <w:rPr>
                <w:rFonts w:cstheme="minorHAnsi"/>
                <w:szCs w:val="20"/>
              </w:rPr>
            </w:pPr>
            <w:r>
              <w:rPr>
                <w:rFonts w:cstheme="minorHAnsi"/>
                <w:szCs w:val="20"/>
              </w:rPr>
              <w:t>4</w:t>
            </w:r>
            <w:r w:rsidR="00670688" w:rsidRPr="00755787">
              <w:rPr>
                <w:rFonts w:cstheme="minorHAnsi"/>
                <w:szCs w:val="20"/>
              </w:rPr>
              <w:t>%</w:t>
            </w:r>
          </w:p>
        </w:tc>
        <w:tc>
          <w:tcPr>
            <w:tcW w:w="0" w:type="auto"/>
            <w:tcBorders>
              <w:top w:val="single" w:sz="2" w:space="0" w:color="BFBFBF" w:themeColor="background1" w:themeShade="BF"/>
              <w:bottom w:val="single" w:sz="2" w:space="0" w:color="BFBFBF" w:themeColor="background1" w:themeShade="BF"/>
            </w:tcBorders>
            <w:shd w:val="clear" w:color="auto" w:fill="auto"/>
            <w:vAlign w:val="center"/>
          </w:tcPr>
          <w:p w14:paraId="6B8BDFB3" w14:textId="0DDBBE8C" w:rsidR="00670688" w:rsidRPr="00755787" w:rsidRDefault="00C7207E" w:rsidP="00947FA0">
            <w:pPr>
              <w:spacing w:after="0" w:line="240" w:lineRule="auto"/>
              <w:jc w:val="center"/>
              <w:rPr>
                <w:rFonts w:cstheme="minorHAnsi"/>
                <w:szCs w:val="20"/>
              </w:rPr>
            </w:pPr>
            <w:r>
              <w:rPr>
                <w:rFonts w:cstheme="minorHAnsi"/>
                <w:szCs w:val="20"/>
              </w:rPr>
              <w:t>7</w:t>
            </w:r>
            <w:r w:rsidR="00670688" w:rsidRPr="00755787">
              <w:rPr>
                <w:rFonts w:cstheme="minorHAnsi"/>
                <w:szCs w:val="20"/>
              </w:rPr>
              <w:t>%</w:t>
            </w:r>
          </w:p>
        </w:tc>
      </w:tr>
      <w:tr w:rsidR="0097136A" w:rsidRPr="00F4455B" w14:paraId="2B2A075F" w14:textId="77777777" w:rsidTr="0097136A">
        <w:trPr>
          <w:trHeight w:val="392"/>
          <w:jc w:val="center"/>
        </w:trPr>
        <w:tc>
          <w:tcPr>
            <w:tcW w:w="1890" w:type="dxa"/>
            <w:tcBorders>
              <w:top w:val="single" w:sz="2" w:space="0" w:color="BFBFBF" w:themeColor="background1" w:themeShade="BF"/>
              <w:bottom w:val="single" w:sz="18" w:space="0" w:color="20A5E8" w:themeColor="accent1"/>
            </w:tcBorders>
            <w:shd w:val="clear" w:color="auto" w:fill="444444" w:themeFill="text1" w:themeFillTint="E6"/>
            <w:noWrap/>
            <w:vAlign w:val="center"/>
          </w:tcPr>
          <w:p w14:paraId="7405C2B3" w14:textId="23B5205A" w:rsidR="00670688" w:rsidRPr="00B30ADA" w:rsidRDefault="00670688" w:rsidP="00947FA0">
            <w:pPr>
              <w:spacing w:after="0" w:line="240" w:lineRule="auto"/>
              <w:jc w:val="right"/>
              <w:rPr>
                <w:rFonts w:cstheme="minorHAnsi"/>
                <w:i/>
                <w:iCs/>
                <w:color w:val="FFFFFF" w:themeColor="background1"/>
                <w:szCs w:val="20"/>
              </w:rPr>
            </w:pPr>
            <w:r w:rsidRPr="00B30ADA">
              <w:rPr>
                <w:rFonts w:cstheme="minorHAnsi"/>
                <w:i/>
                <w:iCs/>
                <w:color w:val="FFFFFF" w:themeColor="background1"/>
                <w:szCs w:val="20"/>
              </w:rPr>
              <w:t>No place for care</w:t>
            </w:r>
          </w:p>
        </w:tc>
        <w:tc>
          <w:tcPr>
            <w:tcW w:w="855" w:type="dxa"/>
            <w:tcBorders>
              <w:top w:val="single" w:sz="2" w:space="0" w:color="BFBFBF" w:themeColor="background1" w:themeShade="BF"/>
              <w:bottom w:val="single" w:sz="18" w:space="0" w:color="20A5E8" w:themeColor="accent1"/>
            </w:tcBorders>
            <w:shd w:val="clear" w:color="auto" w:fill="auto"/>
            <w:vAlign w:val="center"/>
          </w:tcPr>
          <w:p w14:paraId="1C0B4178" w14:textId="5AD56ED3" w:rsidR="00670688" w:rsidRPr="00755787" w:rsidRDefault="00C7207E" w:rsidP="00947FA0">
            <w:pPr>
              <w:spacing w:after="0" w:line="240" w:lineRule="auto"/>
              <w:jc w:val="center"/>
              <w:rPr>
                <w:rFonts w:cstheme="minorHAnsi"/>
                <w:szCs w:val="20"/>
              </w:rPr>
            </w:pPr>
            <w:r>
              <w:rPr>
                <w:rFonts w:cstheme="minorHAnsi"/>
                <w:szCs w:val="20"/>
              </w:rPr>
              <w:t>19</w:t>
            </w:r>
            <w:r w:rsidR="00670688" w:rsidRPr="00755787">
              <w:rPr>
                <w:rFonts w:cstheme="minorHAnsi"/>
                <w:szCs w:val="20"/>
              </w:rPr>
              <w:t>%</w:t>
            </w:r>
          </w:p>
        </w:tc>
        <w:tc>
          <w:tcPr>
            <w:tcW w:w="0" w:type="auto"/>
            <w:tcBorders>
              <w:top w:val="single" w:sz="2" w:space="0" w:color="BFBFBF" w:themeColor="background1" w:themeShade="BF"/>
              <w:bottom w:val="single" w:sz="18" w:space="0" w:color="20A5E8" w:themeColor="accent1"/>
            </w:tcBorders>
            <w:shd w:val="clear" w:color="auto" w:fill="auto"/>
            <w:vAlign w:val="center"/>
          </w:tcPr>
          <w:p w14:paraId="76DB568E" w14:textId="0DD47BED" w:rsidR="00670688" w:rsidRPr="00755787" w:rsidRDefault="00670688" w:rsidP="00947FA0">
            <w:pPr>
              <w:spacing w:after="0" w:line="240" w:lineRule="auto"/>
              <w:jc w:val="center"/>
              <w:rPr>
                <w:rFonts w:cstheme="minorHAnsi"/>
                <w:szCs w:val="20"/>
              </w:rPr>
            </w:pPr>
            <w:r w:rsidRPr="00755787">
              <w:rPr>
                <w:rFonts w:cstheme="minorHAnsi"/>
                <w:szCs w:val="20"/>
              </w:rPr>
              <w:t>1</w:t>
            </w:r>
            <w:r w:rsidR="00C7207E">
              <w:rPr>
                <w:rFonts w:cstheme="minorHAnsi"/>
                <w:szCs w:val="20"/>
              </w:rPr>
              <w:t>6</w:t>
            </w:r>
            <w:r w:rsidRPr="00755787">
              <w:rPr>
                <w:rFonts w:cstheme="minorHAnsi"/>
                <w:szCs w:val="20"/>
              </w:rPr>
              <w:t>%</w:t>
            </w:r>
          </w:p>
        </w:tc>
        <w:tc>
          <w:tcPr>
            <w:tcW w:w="0" w:type="auto"/>
            <w:tcBorders>
              <w:top w:val="single" w:sz="2" w:space="0" w:color="BFBFBF" w:themeColor="background1" w:themeShade="BF"/>
              <w:bottom w:val="single" w:sz="18" w:space="0" w:color="20A5E8" w:themeColor="accent1"/>
            </w:tcBorders>
            <w:shd w:val="clear" w:color="auto" w:fill="auto"/>
            <w:vAlign w:val="center"/>
          </w:tcPr>
          <w:p w14:paraId="57948E1B" w14:textId="24771B70" w:rsidR="00670688" w:rsidRPr="00755787" w:rsidRDefault="00670688" w:rsidP="00947FA0">
            <w:pPr>
              <w:spacing w:after="0" w:line="240" w:lineRule="auto"/>
              <w:jc w:val="center"/>
              <w:rPr>
                <w:rFonts w:cstheme="minorHAnsi"/>
                <w:szCs w:val="20"/>
              </w:rPr>
            </w:pPr>
            <w:r w:rsidRPr="00755787">
              <w:rPr>
                <w:rFonts w:cstheme="minorHAnsi"/>
                <w:szCs w:val="20"/>
              </w:rPr>
              <w:t>3</w:t>
            </w:r>
            <w:r w:rsidR="00C7207E">
              <w:rPr>
                <w:rFonts w:cstheme="minorHAnsi"/>
                <w:szCs w:val="20"/>
              </w:rPr>
              <w:t>3</w:t>
            </w:r>
            <w:r w:rsidRPr="00755787">
              <w:rPr>
                <w:rFonts w:cstheme="minorHAnsi"/>
                <w:szCs w:val="20"/>
              </w:rPr>
              <w:t>%</w:t>
            </w:r>
          </w:p>
        </w:tc>
        <w:tc>
          <w:tcPr>
            <w:tcW w:w="0" w:type="auto"/>
            <w:tcBorders>
              <w:top w:val="single" w:sz="2" w:space="0" w:color="BFBFBF" w:themeColor="background1" w:themeShade="BF"/>
              <w:bottom w:val="single" w:sz="18" w:space="0" w:color="20A5E8" w:themeColor="accent1"/>
            </w:tcBorders>
            <w:shd w:val="clear" w:color="auto" w:fill="auto"/>
            <w:vAlign w:val="center"/>
          </w:tcPr>
          <w:p w14:paraId="791C79D9" w14:textId="55F692BB" w:rsidR="00670688" w:rsidRPr="00755787" w:rsidRDefault="00670688" w:rsidP="00947FA0">
            <w:pPr>
              <w:spacing w:after="0" w:line="240" w:lineRule="auto"/>
              <w:jc w:val="center"/>
              <w:rPr>
                <w:rFonts w:cstheme="minorHAnsi"/>
                <w:szCs w:val="20"/>
              </w:rPr>
            </w:pPr>
            <w:r w:rsidRPr="00755787">
              <w:rPr>
                <w:rFonts w:cstheme="minorHAnsi"/>
                <w:szCs w:val="20"/>
              </w:rPr>
              <w:t>21%</w:t>
            </w:r>
          </w:p>
        </w:tc>
        <w:tc>
          <w:tcPr>
            <w:tcW w:w="0" w:type="auto"/>
            <w:tcBorders>
              <w:top w:val="single" w:sz="2" w:space="0" w:color="BFBFBF" w:themeColor="background1" w:themeShade="BF"/>
              <w:bottom w:val="single" w:sz="18" w:space="0" w:color="20A5E8" w:themeColor="accent1"/>
            </w:tcBorders>
            <w:shd w:val="clear" w:color="auto" w:fill="auto"/>
            <w:vAlign w:val="center"/>
          </w:tcPr>
          <w:p w14:paraId="547B6414" w14:textId="6B773F8B" w:rsidR="00670688" w:rsidRPr="00755787" w:rsidRDefault="00C7207E" w:rsidP="00947FA0">
            <w:pPr>
              <w:spacing w:after="0" w:line="240" w:lineRule="auto"/>
              <w:jc w:val="center"/>
              <w:rPr>
                <w:rFonts w:cstheme="minorHAnsi"/>
                <w:szCs w:val="20"/>
              </w:rPr>
            </w:pPr>
            <w:r>
              <w:rPr>
                <w:rFonts w:cstheme="minorHAnsi"/>
                <w:szCs w:val="20"/>
              </w:rPr>
              <w:t>37%</w:t>
            </w:r>
          </w:p>
        </w:tc>
        <w:tc>
          <w:tcPr>
            <w:tcW w:w="0" w:type="auto"/>
            <w:tcBorders>
              <w:top w:val="single" w:sz="2" w:space="0" w:color="BFBFBF" w:themeColor="background1" w:themeShade="BF"/>
              <w:bottom w:val="single" w:sz="18" w:space="0" w:color="20A5E8" w:themeColor="accent1"/>
            </w:tcBorders>
            <w:shd w:val="clear" w:color="auto" w:fill="auto"/>
            <w:vAlign w:val="center"/>
          </w:tcPr>
          <w:p w14:paraId="1CBB42FC" w14:textId="34C8944C" w:rsidR="00670688" w:rsidRPr="00755787" w:rsidRDefault="00670688" w:rsidP="00947FA0">
            <w:pPr>
              <w:spacing w:after="0" w:line="240" w:lineRule="auto"/>
              <w:jc w:val="center"/>
              <w:rPr>
                <w:rFonts w:cstheme="minorHAnsi"/>
                <w:szCs w:val="20"/>
              </w:rPr>
            </w:pPr>
            <w:r w:rsidRPr="00755787">
              <w:rPr>
                <w:rFonts w:cstheme="minorHAnsi"/>
                <w:szCs w:val="20"/>
              </w:rPr>
              <w:t>33%</w:t>
            </w:r>
          </w:p>
        </w:tc>
        <w:tc>
          <w:tcPr>
            <w:tcW w:w="0" w:type="auto"/>
            <w:tcBorders>
              <w:top w:val="single" w:sz="2" w:space="0" w:color="BFBFBF" w:themeColor="background1" w:themeShade="BF"/>
              <w:bottom w:val="single" w:sz="18" w:space="0" w:color="20A5E8" w:themeColor="accent1"/>
            </w:tcBorders>
            <w:shd w:val="clear" w:color="auto" w:fill="auto"/>
            <w:vAlign w:val="center"/>
          </w:tcPr>
          <w:p w14:paraId="570590B7" w14:textId="626CD50E" w:rsidR="00670688" w:rsidRPr="00755787" w:rsidRDefault="00670688" w:rsidP="00947FA0">
            <w:pPr>
              <w:spacing w:after="0" w:line="240" w:lineRule="auto"/>
              <w:jc w:val="center"/>
              <w:rPr>
                <w:rFonts w:cstheme="minorHAnsi"/>
                <w:szCs w:val="20"/>
              </w:rPr>
            </w:pPr>
            <w:r w:rsidRPr="00755787">
              <w:rPr>
                <w:rFonts w:cstheme="minorHAnsi"/>
                <w:szCs w:val="20"/>
              </w:rPr>
              <w:t>1</w:t>
            </w:r>
            <w:r w:rsidR="00C7207E">
              <w:rPr>
                <w:rFonts w:cstheme="minorHAnsi"/>
                <w:szCs w:val="20"/>
              </w:rPr>
              <w:t>6</w:t>
            </w:r>
            <w:r w:rsidRPr="00755787">
              <w:rPr>
                <w:rFonts w:cstheme="minorHAnsi"/>
                <w:szCs w:val="20"/>
              </w:rPr>
              <w:t>%</w:t>
            </w:r>
          </w:p>
        </w:tc>
        <w:tc>
          <w:tcPr>
            <w:tcW w:w="0" w:type="auto"/>
            <w:tcBorders>
              <w:top w:val="single" w:sz="2" w:space="0" w:color="BFBFBF" w:themeColor="background1" w:themeShade="BF"/>
              <w:bottom w:val="single" w:sz="18" w:space="0" w:color="20A5E8" w:themeColor="accent1"/>
            </w:tcBorders>
            <w:shd w:val="clear" w:color="auto" w:fill="auto"/>
            <w:noWrap/>
            <w:vAlign w:val="center"/>
          </w:tcPr>
          <w:p w14:paraId="03C2DBAF" w14:textId="54D87A56" w:rsidR="00670688" w:rsidRPr="00755787" w:rsidRDefault="00080773" w:rsidP="00947FA0">
            <w:pPr>
              <w:spacing w:after="0" w:line="240" w:lineRule="auto"/>
              <w:jc w:val="center"/>
              <w:rPr>
                <w:rFonts w:cstheme="minorHAnsi"/>
                <w:szCs w:val="20"/>
              </w:rPr>
            </w:pPr>
            <w:r w:rsidRPr="00755787">
              <w:rPr>
                <w:rFonts w:cstheme="minorHAnsi"/>
                <w:szCs w:val="20"/>
              </w:rPr>
              <w:t>2</w:t>
            </w:r>
            <w:r w:rsidR="00C7207E">
              <w:rPr>
                <w:rFonts w:cstheme="minorHAnsi"/>
                <w:szCs w:val="20"/>
              </w:rPr>
              <w:t>1</w:t>
            </w:r>
            <w:r w:rsidR="00670688" w:rsidRPr="00755787">
              <w:rPr>
                <w:rFonts w:cstheme="minorHAnsi"/>
                <w:szCs w:val="20"/>
              </w:rPr>
              <w:t>%</w:t>
            </w:r>
          </w:p>
        </w:tc>
        <w:tc>
          <w:tcPr>
            <w:tcW w:w="0" w:type="auto"/>
            <w:tcBorders>
              <w:top w:val="single" w:sz="2" w:space="0" w:color="BFBFBF" w:themeColor="background1" w:themeShade="BF"/>
              <w:bottom w:val="single" w:sz="18" w:space="0" w:color="20A5E8" w:themeColor="accent1"/>
            </w:tcBorders>
            <w:shd w:val="clear" w:color="auto" w:fill="auto"/>
            <w:vAlign w:val="center"/>
          </w:tcPr>
          <w:p w14:paraId="7697732A" w14:textId="3C7B7F0D" w:rsidR="00670688" w:rsidRPr="00755787" w:rsidRDefault="00080773" w:rsidP="00947FA0">
            <w:pPr>
              <w:spacing w:after="0" w:line="240" w:lineRule="auto"/>
              <w:jc w:val="center"/>
              <w:rPr>
                <w:rFonts w:cstheme="minorHAnsi"/>
                <w:szCs w:val="20"/>
              </w:rPr>
            </w:pPr>
            <w:r w:rsidRPr="00755787">
              <w:rPr>
                <w:rFonts w:cstheme="minorHAnsi"/>
                <w:szCs w:val="20"/>
              </w:rPr>
              <w:t>4</w:t>
            </w:r>
            <w:r w:rsidR="00C7207E">
              <w:rPr>
                <w:rFonts w:cstheme="minorHAnsi"/>
                <w:szCs w:val="20"/>
              </w:rPr>
              <w:t>1</w:t>
            </w:r>
            <w:r w:rsidR="00670688" w:rsidRPr="00755787">
              <w:rPr>
                <w:rFonts w:cstheme="minorHAnsi"/>
                <w:szCs w:val="20"/>
              </w:rPr>
              <w:t>%</w:t>
            </w:r>
          </w:p>
        </w:tc>
      </w:tr>
    </w:tbl>
    <w:p w14:paraId="5F141B5F" w14:textId="62801BFF" w:rsidR="0013523A" w:rsidRPr="00F4455B" w:rsidRDefault="0013523A" w:rsidP="00A46A9E">
      <w:pPr>
        <w:contextualSpacing/>
        <w:rPr>
          <w:rFonts w:cs="Arial"/>
          <w:i/>
          <w:sz w:val="16"/>
          <w:szCs w:val="16"/>
        </w:rPr>
      </w:pPr>
      <w:r w:rsidRPr="00F4455B">
        <w:rPr>
          <w:rFonts w:cs="Arial"/>
          <w:i/>
          <w:sz w:val="16"/>
          <w:szCs w:val="16"/>
        </w:rPr>
        <w:t>Note: Adding individual rows may not match NETS due to rounding.</w:t>
      </w:r>
    </w:p>
    <w:p w14:paraId="1ADABA05" w14:textId="77777777" w:rsidR="0062207C" w:rsidRPr="00F4455B" w:rsidRDefault="0062207C" w:rsidP="00A46A9E">
      <w:pPr>
        <w:contextualSpacing/>
        <w:rPr>
          <w:rFonts w:cs="Arial"/>
          <w:szCs w:val="20"/>
        </w:rPr>
      </w:pPr>
    </w:p>
    <w:p w14:paraId="2E243272" w14:textId="66DE110A" w:rsidR="00461D9C" w:rsidRPr="00F4455B" w:rsidRDefault="00F84D2D" w:rsidP="00A46A9E">
      <w:r w:rsidRPr="00F4455B">
        <w:t>For Texans who say they have a usual place of care (7</w:t>
      </w:r>
      <w:r w:rsidR="00C7207E">
        <w:t>0</w:t>
      </w:r>
      <w:r w:rsidRPr="00F4455B">
        <w:t>%),</w:t>
      </w:r>
      <w:r w:rsidR="00242983" w:rsidRPr="00F4455B">
        <w:t xml:space="preserve"> most say it is very (6</w:t>
      </w:r>
      <w:r w:rsidR="00C7207E">
        <w:t>1</w:t>
      </w:r>
      <w:r w:rsidR="00242983" w:rsidRPr="00F4455B">
        <w:t>%) or somewhat (2</w:t>
      </w:r>
      <w:r w:rsidR="00C7207E">
        <w:t>5</w:t>
      </w:r>
      <w:r w:rsidR="00242983" w:rsidRPr="00F4455B">
        <w:t>%) easy for them to travel to the</w:t>
      </w:r>
      <w:r w:rsidRPr="00F4455B">
        <w:t xml:space="preserve"> doctor’s office or other</w:t>
      </w:r>
      <w:r w:rsidR="00242983" w:rsidRPr="00F4455B">
        <w:t xml:space="preserve"> facility to receive care. </w:t>
      </w:r>
      <w:r w:rsidR="00C7207E">
        <w:t>Fourteen percent</w:t>
      </w:r>
      <w:r w:rsidR="00242983" w:rsidRPr="00F4455B">
        <w:t xml:space="preserve"> </w:t>
      </w:r>
      <w:r w:rsidRPr="00F4455B">
        <w:t>report having difficulty</w:t>
      </w:r>
      <w:r w:rsidR="00242983" w:rsidRPr="00F4455B">
        <w:t xml:space="preserve"> traveling to their usual place of care (</w:t>
      </w:r>
      <w:r w:rsidR="00C7207E">
        <w:t>10</w:t>
      </w:r>
      <w:r w:rsidR="00242983" w:rsidRPr="00F4455B">
        <w:t xml:space="preserve">% somewhat difficult and </w:t>
      </w:r>
      <w:r w:rsidR="00C7207E">
        <w:t>4</w:t>
      </w:r>
      <w:r w:rsidR="00242983" w:rsidRPr="00F4455B">
        <w:t xml:space="preserve">% very difficult). </w:t>
      </w:r>
    </w:p>
    <w:p w14:paraId="26949345" w14:textId="42362EB0" w:rsidR="00242983" w:rsidRPr="00F4455B" w:rsidRDefault="00B242CD" w:rsidP="00A46A9E">
      <w:r w:rsidRPr="00F4455B">
        <w:t>Among those with a usual place of care, those who report traveling to that place is a barrier for them are mostly low-income</w:t>
      </w:r>
      <w:r w:rsidR="004D5213">
        <w:t xml:space="preserve"> </w:t>
      </w:r>
      <w:r w:rsidR="00005757" w:rsidRPr="00F4455B">
        <w:t xml:space="preserve">or </w:t>
      </w:r>
      <w:r w:rsidR="0052485A">
        <w:t xml:space="preserve">don’t have </w:t>
      </w:r>
      <w:r w:rsidRPr="00F4455B">
        <w:t xml:space="preserve">health insurance. Hispanic Texans are more likely than white </w:t>
      </w:r>
      <w:r w:rsidR="001C343A">
        <w:t>and</w:t>
      </w:r>
      <w:r w:rsidR="00C7207E">
        <w:t xml:space="preserve"> Black residents </w:t>
      </w:r>
      <w:r w:rsidRPr="00F4455B">
        <w:t>to report challenges with getting to their</w:t>
      </w:r>
      <w:r w:rsidR="00F84D2D" w:rsidRPr="00F4455B">
        <w:t xml:space="preserve"> usual</w:t>
      </w:r>
      <w:r w:rsidRPr="00F4455B">
        <w:t xml:space="preserve"> place of medical care</w:t>
      </w:r>
      <w:r w:rsidR="00C75F40">
        <w:t xml:space="preserve"> (Chart </w:t>
      </w:r>
      <w:r w:rsidR="00BF1327">
        <w:t>10</w:t>
      </w:r>
      <w:r w:rsidR="00C75F40">
        <w:t>)</w:t>
      </w:r>
      <w:r w:rsidRPr="00F4455B">
        <w:t>.</w:t>
      </w:r>
      <w:r w:rsidR="001C343A">
        <w:t xml:space="preserve"> Uninsured residents and those with chronic conditions or disabilities are also more likely to report difficulty travelling to their usual place of care.</w:t>
      </w:r>
      <w:r w:rsidRPr="00F4455B">
        <w:t xml:space="preserve"> </w:t>
      </w:r>
      <w:r w:rsidR="001C343A">
        <w:t>Additionally</w:t>
      </w:r>
      <w:r w:rsidRPr="00F4455B">
        <w:t xml:space="preserve">, those with incomes below 250 percent of the FPL are </w:t>
      </w:r>
      <w:r w:rsidR="00F84D2D" w:rsidRPr="00F4455B">
        <w:t>four</w:t>
      </w:r>
      <w:r w:rsidRPr="00F4455B">
        <w:t xml:space="preserve"> times as likely as higher-income Texans to say it is difficult for them to travel to their place of care (2</w:t>
      </w:r>
      <w:r w:rsidR="001C343A">
        <w:t>6</w:t>
      </w:r>
      <w:r w:rsidRPr="00F4455B">
        <w:t xml:space="preserve">% v. </w:t>
      </w:r>
      <w:r w:rsidR="001C343A">
        <w:t>6</w:t>
      </w:r>
      <w:r w:rsidRPr="00F4455B">
        <w:t xml:space="preserve">%). </w:t>
      </w:r>
    </w:p>
    <w:p w14:paraId="0BF31092" w14:textId="7E43C657" w:rsidR="00242983" w:rsidRPr="00F4455B" w:rsidRDefault="00947FA0" w:rsidP="00A46A9E">
      <w:pPr>
        <w:tabs>
          <w:tab w:val="left" w:pos="-1080"/>
          <w:tab w:val="left" w:pos="-648"/>
          <w:tab w:val="left" w:pos="0"/>
          <w:tab w:val="left" w:pos="792"/>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rPr>
          <w:szCs w:val="21"/>
        </w:rPr>
      </w:pPr>
      <w:r>
        <w:rPr>
          <w:rFonts w:cs="Arial"/>
          <w:noProof/>
          <w:szCs w:val="20"/>
          <w:lang w:bidi="he-IL"/>
        </w:rPr>
        <w:lastRenderedPageBreak/>
        <mc:AlternateContent>
          <mc:Choice Requires="wps">
            <w:drawing>
              <wp:anchor distT="0" distB="0" distL="114300" distR="114300" simplePos="0" relativeHeight="251714560" behindDoc="0" locked="0" layoutInCell="1" allowOverlap="1" wp14:anchorId="5074E310" wp14:editId="1BD176C5">
                <wp:simplePos x="0" y="0"/>
                <wp:positionH relativeFrom="column">
                  <wp:posOffset>354965</wp:posOffset>
                </wp:positionH>
                <wp:positionV relativeFrom="paragraph">
                  <wp:posOffset>1514806</wp:posOffset>
                </wp:positionV>
                <wp:extent cx="47148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4714875" cy="0"/>
                        </a:xfrm>
                        <a:prstGeom prst="line">
                          <a:avLst/>
                        </a:prstGeom>
                        <a:ln w="9525" cap="flat" cmpd="sng" algn="ctr">
                          <a:solidFill>
                            <a:schemeClr val="bg1">
                              <a:lumMod val="7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51834781" id="Straight Connector 1"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27.95pt,119.3pt" to="399.2pt,1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" strokecolor="#bfbfbf [2412]">
                <v:stroke dashstyle="dash"/>
              </v:line>
            </w:pict>
          </mc:Fallback>
        </mc:AlternateContent>
      </w:r>
      <w:r>
        <w:rPr>
          <w:rFonts w:cs="Arial"/>
          <w:noProof/>
          <w:szCs w:val="20"/>
          <w:lang w:bidi="he-IL"/>
        </w:rPr>
        <mc:AlternateContent>
          <mc:Choice Requires="wps">
            <w:drawing>
              <wp:anchor distT="0" distB="0" distL="114300" distR="114300" simplePos="0" relativeHeight="251718656" behindDoc="0" locked="0" layoutInCell="1" allowOverlap="1" wp14:anchorId="4F18C538" wp14:editId="37DC3033">
                <wp:simplePos x="0" y="0"/>
                <wp:positionH relativeFrom="column">
                  <wp:posOffset>375920</wp:posOffset>
                </wp:positionH>
                <wp:positionV relativeFrom="paragraph">
                  <wp:posOffset>3692221</wp:posOffset>
                </wp:positionV>
                <wp:extent cx="4714875" cy="0"/>
                <wp:effectExtent l="0" t="0" r="0" b="0"/>
                <wp:wrapNone/>
                <wp:docPr id="13" name="Straight Connector 13"/>
                <wp:cNvGraphicFramePr/>
                <a:graphic xmlns:a="http://schemas.openxmlformats.org/drawingml/2006/main">
                  <a:graphicData uri="http://schemas.microsoft.com/office/word/2010/wordprocessingShape">
                    <wps:wsp>
                      <wps:cNvCnPr/>
                      <wps:spPr>
                        <a:xfrm>
                          <a:off x="0" y="0"/>
                          <a:ext cx="4714875" cy="0"/>
                        </a:xfrm>
                        <a:prstGeom prst="line">
                          <a:avLst/>
                        </a:prstGeom>
                        <a:ln w="9525" cap="flat" cmpd="sng" algn="ctr">
                          <a:solidFill>
                            <a:schemeClr val="bg1">
                              <a:lumMod val="7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073FE37F" id="Straight Connector 13"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29.6pt,290.75pt" to="400.85pt,29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" strokecolor="#bfbfbf [2412]">
                <v:stroke dashstyle="dash"/>
              </v:line>
            </w:pict>
          </mc:Fallback>
        </mc:AlternateContent>
      </w:r>
      <w:r w:rsidR="005B4FFE">
        <w:rPr>
          <w:rFonts w:cs="Arial"/>
          <w:noProof/>
          <w:szCs w:val="20"/>
          <w:lang w:bidi="he-IL"/>
        </w:rPr>
        <mc:AlternateContent>
          <mc:Choice Requires="wps">
            <w:drawing>
              <wp:anchor distT="0" distB="0" distL="114300" distR="114300" simplePos="0" relativeHeight="251716608" behindDoc="0" locked="0" layoutInCell="1" allowOverlap="1" wp14:anchorId="12D186F8" wp14:editId="091CECF2">
                <wp:simplePos x="0" y="0"/>
                <wp:positionH relativeFrom="column">
                  <wp:posOffset>336246</wp:posOffset>
                </wp:positionH>
                <wp:positionV relativeFrom="paragraph">
                  <wp:posOffset>2386965</wp:posOffset>
                </wp:positionV>
                <wp:extent cx="47148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4714875" cy="0"/>
                        </a:xfrm>
                        <a:prstGeom prst="line">
                          <a:avLst/>
                        </a:prstGeom>
                        <a:ln w="9525" cap="flat" cmpd="sng" algn="ctr">
                          <a:solidFill>
                            <a:schemeClr val="bg1">
                              <a:lumMod val="7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6BEB8E64" id="Straight Connector 7"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26.5pt,187.95pt" to="397.75pt,18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" strokecolor="#bfbfbf [2412]">
                <v:stroke dashstyle="dash"/>
              </v:line>
            </w:pict>
          </mc:Fallback>
        </mc:AlternateContent>
      </w:r>
      <w:r w:rsidR="00006FA7" w:rsidRPr="00283595">
        <w:rPr>
          <w:rFonts w:cs="Arial"/>
          <w:noProof/>
          <w:szCs w:val="20"/>
          <w:shd w:val="clear" w:color="auto" w:fill="303030" w:themeFill="text1"/>
          <w:lang w:bidi="he-IL"/>
        </w:rPr>
        <w:drawing>
          <wp:inline distT="0" distB="0" distL="0" distR="0" wp14:anchorId="296A14AF" wp14:editId="2C038BCD">
            <wp:extent cx="5947576" cy="5153025"/>
            <wp:effectExtent l="0" t="0" r="15240" b="952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EEC5B4C" w14:textId="77777777" w:rsidR="000E0368" w:rsidRDefault="000E0368">
      <w:pPr>
        <w:jc w:val="left"/>
        <w:rPr>
          <w:rFonts w:asciiTheme="majorHAnsi" w:eastAsiaTheme="majorEastAsia" w:hAnsiTheme="majorHAnsi" w:cstheme="majorBidi"/>
          <w:b/>
          <w:color w:val="444444" w:themeColor="text1" w:themeTint="E6"/>
          <w:sz w:val="32"/>
          <w:szCs w:val="32"/>
        </w:rPr>
      </w:pPr>
      <w:bookmarkStart w:id="18" w:name="_Toc509837"/>
      <w:r>
        <w:rPr>
          <w:caps/>
        </w:rPr>
        <w:br w:type="page"/>
      </w:r>
    </w:p>
    <w:p w14:paraId="19F70B68" w14:textId="07C90570" w:rsidR="00B821E4" w:rsidRPr="00F4455B" w:rsidRDefault="00006FA7" w:rsidP="00484B58">
      <w:pPr>
        <w:pStyle w:val="Heading1"/>
      </w:pPr>
      <w:bookmarkStart w:id="19" w:name="_Toc95989000"/>
      <w:r>
        <w:lastRenderedPageBreak/>
        <w:t>M</w:t>
      </w:r>
      <w:r w:rsidR="00B821E4" w:rsidRPr="00F4455B">
        <w:t>ETHODOLOGY</w:t>
      </w:r>
      <w:bookmarkEnd w:id="18"/>
      <w:bookmarkEnd w:id="19"/>
    </w:p>
    <w:p w14:paraId="2450AA18" w14:textId="7D49CD40" w:rsidR="00CE23CD" w:rsidRPr="00F4455B" w:rsidRDefault="00CE23CD" w:rsidP="00A46A9E">
      <w:pPr>
        <w:tabs>
          <w:tab w:val="left" w:pos="-1080"/>
          <w:tab w:val="left" w:pos="-648"/>
          <w:tab w:val="left" w:pos="0"/>
          <w:tab w:val="left" w:pos="792"/>
          <w:tab w:val="left" w:pos="1512"/>
          <w:tab w:val="left" w:pos="2232"/>
          <w:tab w:val="left" w:pos="2952"/>
          <w:tab w:val="left" w:pos="3672"/>
          <w:tab w:val="left" w:pos="4392"/>
          <w:tab w:val="left" w:pos="5112"/>
          <w:tab w:val="left" w:pos="5832"/>
          <w:tab w:val="left" w:pos="6552"/>
          <w:tab w:val="left" w:pos="7272"/>
          <w:tab w:val="left" w:pos="7992"/>
          <w:tab w:val="left" w:pos="8712"/>
        </w:tabs>
        <w:rPr>
          <w:rFonts w:cs="Arial"/>
          <w:szCs w:val="20"/>
        </w:rPr>
      </w:pPr>
      <w:r w:rsidRPr="00F4455B">
        <w:rPr>
          <w:rFonts w:cs="Arial"/>
          <w:szCs w:val="20"/>
        </w:rPr>
        <w:t xml:space="preserve">SSRS conducted the </w:t>
      </w:r>
      <w:r w:rsidR="00157F11" w:rsidRPr="00157F11">
        <w:rPr>
          <w:rFonts w:cs="Arial"/>
          <w:i/>
          <w:iCs/>
          <w:szCs w:val="20"/>
        </w:rPr>
        <w:t>2021</w:t>
      </w:r>
      <w:r w:rsidRPr="00157F11">
        <w:rPr>
          <w:rFonts w:cs="Arial"/>
          <w:i/>
          <w:iCs/>
          <w:szCs w:val="20"/>
        </w:rPr>
        <w:t xml:space="preserve"> </w:t>
      </w:r>
      <w:r w:rsidRPr="00F4455B">
        <w:rPr>
          <w:rFonts w:cs="Arial"/>
          <w:i/>
          <w:szCs w:val="20"/>
        </w:rPr>
        <w:t xml:space="preserve">Texas Health </w:t>
      </w:r>
      <w:r w:rsidR="00157F11">
        <w:rPr>
          <w:rFonts w:cs="Arial"/>
          <w:i/>
          <w:szCs w:val="20"/>
        </w:rPr>
        <w:t>Tracking</w:t>
      </w:r>
      <w:r w:rsidRPr="00F4455B">
        <w:rPr>
          <w:rFonts w:cs="Arial"/>
          <w:i/>
          <w:szCs w:val="20"/>
        </w:rPr>
        <w:t xml:space="preserve"> Survey</w:t>
      </w:r>
      <w:r w:rsidRPr="00F4455B">
        <w:rPr>
          <w:rFonts w:cs="Arial"/>
          <w:szCs w:val="20"/>
        </w:rPr>
        <w:t xml:space="preserve"> on behalf of Episcopal Health Foundation (EHF) from </w:t>
      </w:r>
      <w:r w:rsidR="006D60AD">
        <w:rPr>
          <w:rFonts w:cs="Arial"/>
          <w:szCs w:val="20"/>
        </w:rPr>
        <w:t>October 20</w:t>
      </w:r>
      <w:r w:rsidRPr="00F4455B">
        <w:rPr>
          <w:rFonts w:cs="Arial"/>
          <w:szCs w:val="20"/>
        </w:rPr>
        <w:t xml:space="preserve"> through </w:t>
      </w:r>
      <w:r w:rsidR="006D60AD">
        <w:rPr>
          <w:rFonts w:cs="Arial"/>
          <w:szCs w:val="20"/>
        </w:rPr>
        <w:t>November 18, 2021</w:t>
      </w:r>
      <w:r w:rsidRPr="00F4455B">
        <w:rPr>
          <w:rFonts w:cs="Arial"/>
          <w:szCs w:val="20"/>
        </w:rPr>
        <w:t>. The goal of this survey was to understand the perspectives and experiences of Texas adults regarding their health care and health care policies in the state, with a comparison to similar studies completed in 2018</w:t>
      </w:r>
      <w:r w:rsidRPr="00F4455B">
        <w:rPr>
          <w:rStyle w:val="FootnoteReference"/>
          <w:rFonts w:cs="Arial"/>
          <w:szCs w:val="20"/>
        </w:rPr>
        <w:footnoteReference w:id="3"/>
      </w:r>
      <w:r w:rsidR="006D60AD">
        <w:rPr>
          <w:rFonts w:cs="Arial"/>
          <w:szCs w:val="20"/>
        </w:rPr>
        <w:t xml:space="preserve">, </w:t>
      </w:r>
      <w:r w:rsidRPr="00F4455B">
        <w:rPr>
          <w:rFonts w:cs="Arial"/>
          <w:szCs w:val="20"/>
        </w:rPr>
        <w:t>2019</w:t>
      </w:r>
      <w:r w:rsidRPr="00F4455B">
        <w:rPr>
          <w:rStyle w:val="FootnoteReference"/>
          <w:rFonts w:cs="Arial"/>
          <w:szCs w:val="20"/>
        </w:rPr>
        <w:footnoteReference w:id="4"/>
      </w:r>
      <w:r w:rsidR="006D60AD">
        <w:rPr>
          <w:rFonts w:cs="Arial"/>
          <w:szCs w:val="20"/>
        </w:rPr>
        <w:t>, and 2020</w:t>
      </w:r>
      <w:r w:rsidR="006D60AD">
        <w:rPr>
          <w:rStyle w:val="FootnoteReference"/>
          <w:rFonts w:cs="Arial"/>
          <w:szCs w:val="20"/>
        </w:rPr>
        <w:footnoteReference w:id="5"/>
      </w:r>
      <w:r w:rsidRPr="00F4455B">
        <w:rPr>
          <w:rFonts w:cs="Arial"/>
          <w:szCs w:val="20"/>
        </w:rPr>
        <w:t>.</w:t>
      </w:r>
      <w:r w:rsidRPr="00F4455B">
        <w:rPr>
          <w:rFonts w:ascii="Calibri" w:hAnsi="Calibri"/>
          <w:sz w:val="22"/>
        </w:rPr>
        <w:t xml:space="preserve"> </w:t>
      </w:r>
      <w:r w:rsidRPr="00F4455B">
        <w:rPr>
          <w:rFonts w:cs="Arial"/>
          <w:szCs w:val="20"/>
        </w:rPr>
        <w:t>For the 202</w:t>
      </w:r>
      <w:r w:rsidR="00183857">
        <w:rPr>
          <w:rFonts w:cs="Arial"/>
          <w:szCs w:val="20"/>
        </w:rPr>
        <w:t>1</w:t>
      </w:r>
      <w:r w:rsidRPr="00F4455B">
        <w:rPr>
          <w:rFonts w:cs="Arial"/>
          <w:szCs w:val="20"/>
        </w:rPr>
        <w:t xml:space="preserve"> Texas Health Policy Survey, SSRS interviewed a representative sample of 1,20</w:t>
      </w:r>
      <w:r w:rsidR="00183857">
        <w:rPr>
          <w:rFonts w:cs="Arial"/>
          <w:szCs w:val="20"/>
        </w:rPr>
        <w:t>3</w:t>
      </w:r>
      <w:r w:rsidRPr="00F4455B">
        <w:rPr>
          <w:rFonts w:cs="Arial"/>
          <w:szCs w:val="20"/>
        </w:rPr>
        <w:t xml:space="preserve"> Texas adults (age 18 or older), reached via landline (n=</w:t>
      </w:r>
      <w:r w:rsidR="00183857">
        <w:rPr>
          <w:rFonts w:cs="Arial"/>
          <w:szCs w:val="20"/>
        </w:rPr>
        <w:t>352</w:t>
      </w:r>
      <w:r w:rsidRPr="00F4455B">
        <w:rPr>
          <w:rFonts w:cs="Arial"/>
          <w:szCs w:val="20"/>
        </w:rPr>
        <w:t>) and cell phone (n=</w:t>
      </w:r>
      <w:r w:rsidR="00183857">
        <w:rPr>
          <w:rFonts w:cs="Arial"/>
          <w:szCs w:val="20"/>
        </w:rPr>
        <w:t>851</w:t>
      </w:r>
      <w:r w:rsidRPr="00F4455B">
        <w:rPr>
          <w:rFonts w:cs="Arial"/>
          <w:szCs w:val="20"/>
        </w:rPr>
        <w:t>; including n= 7</w:t>
      </w:r>
      <w:r w:rsidR="00183857">
        <w:rPr>
          <w:rFonts w:cs="Arial"/>
          <w:szCs w:val="20"/>
        </w:rPr>
        <w:t>05</w:t>
      </w:r>
      <w:r w:rsidRPr="00F4455B">
        <w:rPr>
          <w:rFonts w:cs="Arial"/>
          <w:szCs w:val="20"/>
        </w:rPr>
        <w:t xml:space="preserve"> who could not be reaching via landline) random digit dialing (RDD). Interviews were conducted by live professional telephone interviewers in English or Spanish based on the respondent's language preference.</w:t>
      </w:r>
    </w:p>
    <w:p w14:paraId="459A3349" w14:textId="77777777" w:rsidR="00CE23CD" w:rsidRPr="00F4455B" w:rsidRDefault="00CE23CD" w:rsidP="00A46A9E">
      <w:pPr>
        <w:tabs>
          <w:tab w:val="left" w:pos="-1080"/>
          <w:tab w:val="left" w:pos="-648"/>
          <w:tab w:val="left" w:pos="0"/>
          <w:tab w:val="left" w:pos="792"/>
          <w:tab w:val="left" w:pos="1512"/>
          <w:tab w:val="left" w:pos="2232"/>
          <w:tab w:val="left" w:pos="2952"/>
          <w:tab w:val="left" w:pos="3672"/>
          <w:tab w:val="left" w:pos="4392"/>
          <w:tab w:val="left" w:pos="5112"/>
          <w:tab w:val="left" w:pos="5832"/>
          <w:tab w:val="left" w:pos="6552"/>
          <w:tab w:val="left" w:pos="7272"/>
          <w:tab w:val="left" w:pos="7992"/>
          <w:tab w:val="left" w:pos="8712"/>
        </w:tabs>
        <w:rPr>
          <w:rFonts w:cs="Arial"/>
          <w:szCs w:val="20"/>
        </w:rPr>
      </w:pPr>
      <w:r w:rsidRPr="00F4455B">
        <w:rPr>
          <w:rFonts w:cs="Arial"/>
          <w:szCs w:val="20"/>
        </w:rPr>
        <w:t>Weighting is generally used in survey analysis to compensate for sample designs and patterns of non-response that might bias results. The survey data are weighted to balance the sample demographics to match estimates for the Texas adult population. The margin of sampling error for this study is +/- 3.5 percentage points for results based on the total sample.</w:t>
      </w:r>
    </w:p>
    <w:p w14:paraId="69AD0127" w14:textId="77777777" w:rsidR="00CE23CD" w:rsidRPr="00F4455B" w:rsidRDefault="00CE23CD" w:rsidP="00A46A9E">
      <w:pPr>
        <w:pStyle w:val="Heading1"/>
        <w:jc w:val="both"/>
      </w:pPr>
      <w:bookmarkStart w:id="20" w:name="_Toc58328452"/>
      <w:bookmarkStart w:id="21" w:name="_Toc95989001"/>
      <w:r w:rsidRPr="00F4455B">
        <w:rPr>
          <w:caps w:val="0"/>
        </w:rPr>
        <w:t>ABOUT EHF</w:t>
      </w:r>
      <w:bookmarkEnd w:id="20"/>
      <w:bookmarkEnd w:id="21"/>
    </w:p>
    <w:p w14:paraId="2D123333" w14:textId="471BC1BC" w:rsidR="00CE23CD" w:rsidRPr="00F4455B" w:rsidRDefault="00403CEF" w:rsidP="00A46A9E">
      <w:pPr>
        <w:tabs>
          <w:tab w:val="left" w:pos="-1080"/>
          <w:tab w:val="left" w:pos="-648"/>
          <w:tab w:val="left" w:pos="0"/>
          <w:tab w:val="left" w:pos="792"/>
          <w:tab w:val="left" w:pos="1512"/>
          <w:tab w:val="left" w:pos="2232"/>
          <w:tab w:val="left" w:pos="2952"/>
          <w:tab w:val="left" w:pos="3672"/>
          <w:tab w:val="left" w:pos="4392"/>
          <w:tab w:val="left" w:pos="5112"/>
          <w:tab w:val="left" w:pos="5832"/>
          <w:tab w:val="left" w:pos="6552"/>
          <w:tab w:val="left" w:pos="7272"/>
          <w:tab w:val="left" w:pos="7992"/>
          <w:tab w:val="left" w:pos="8712"/>
        </w:tabs>
        <w:rPr>
          <w:rFonts w:cs="Arial"/>
          <w:szCs w:val="20"/>
        </w:rPr>
      </w:pPr>
      <w:hyperlink r:id="rId23" w:history="1">
        <w:r w:rsidR="00CE23CD" w:rsidRPr="00F4455B">
          <w:rPr>
            <w:rStyle w:val="Hyperlink"/>
            <w:rFonts w:cs="Arial"/>
            <w:szCs w:val="20"/>
          </w:rPr>
          <w:t>Episcopal Health Foundation (EHF)</w:t>
        </w:r>
      </w:hyperlink>
      <w:r w:rsidR="00CE23CD" w:rsidRPr="00F4455B">
        <w:rPr>
          <w:rFonts w:cs="Arial"/>
          <w:szCs w:val="20"/>
        </w:rPr>
        <w:t xml:space="preserve"> is committed to transforming the health of our communities by going beyond the doctor’s office. By providing millions of dollars in grants, working with congregations and community partners, and providing important research, we're supporting solutions that address the underlying causes of poor health in Texas. EHF was established in 2013, is based in Houston, and has more than $1.</w:t>
      </w:r>
      <w:r w:rsidR="0052485A">
        <w:rPr>
          <w:rFonts w:cs="Arial"/>
          <w:szCs w:val="20"/>
        </w:rPr>
        <w:t>3</w:t>
      </w:r>
      <w:r w:rsidR="00CE23CD" w:rsidRPr="00F4455B">
        <w:rPr>
          <w:rFonts w:cs="Arial"/>
          <w:szCs w:val="20"/>
        </w:rPr>
        <w:t xml:space="preserve"> billion in estimated assets. </w:t>
      </w:r>
      <w:r w:rsidR="00CE23CD" w:rsidRPr="00F4455B">
        <w:rPr>
          <w:rFonts w:cs="Arial"/>
          <w:b/>
          <w:szCs w:val="20"/>
        </w:rPr>
        <w:t>#HealthNotJustHealth</w:t>
      </w:r>
      <w:r w:rsidR="0052485A">
        <w:rPr>
          <w:rFonts w:cs="Arial"/>
          <w:b/>
          <w:szCs w:val="20"/>
        </w:rPr>
        <w:t>C</w:t>
      </w:r>
      <w:r w:rsidR="00CE23CD" w:rsidRPr="00F4455B">
        <w:rPr>
          <w:rFonts w:cs="Arial"/>
          <w:b/>
          <w:szCs w:val="20"/>
        </w:rPr>
        <w:t>are</w:t>
      </w:r>
    </w:p>
    <w:p w14:paraId="2E42F2EF" w14:textId="77777777" w:rsidR="00CE23CD" w:rsidRPr="00F4455B" w:rsidRDefault="00CE23CD" w:rsidP="00A46A9E">
      <w:pPr>
        <w:pStyle w:val="Heading1"/>
        <w:jc w:val="both"/>
      </w:pPr>
      <w:bookmarkStart w:id="22" w:name="_Toc58328453"/>
      <w:bookmarkStart w:id="23" w:name="_Toc95989002"/>
      <w:r w:rsidRPr="00F4455B">
        <w:rPr>
          <w:caps w:val="0"/>
        </w:rPr>
        <w:t>ABOUT SSRS</w:t>
      </w:r>
      <w:bookmarkEnd w:id="22"/>
      <w:bookmarkEnd w:id="23"/>
    </w:p>
    <w:p w14:paraId="596E98A2" w14:textId="77777777" w:rsidR="00CE23CD" w:rsidRPr="008F2B23" w:rsidRDefault="00CE23CD" w:rsidP="00A46A9E">
      <w:pPr>
        <w:pStyle w:val="NormalWeb"/>
        <w:spacing w:before="0" w:beforeAutospacing="0" w:after="0" w:afterAutospacing="0"/>
        <w:rPr>
          <w:rFonts w:asciiTheme="minorHAnsi" w:eastAsiaTheme="minorHAnsi" w:hAnsiTheme="minorHAnsi" w:cstheme="minorHAnsi"/>
          <w:sz w:val="20"/>
          <w:szCs w:val="20"/>
        </w:rPr>
      </w:pPr>
      <w:r w:rsidRPr="008F2B23">
        <w:rPr>
          <w:rFonts w:asciiTheme="minorHAnsi" w:eastAsiaTheme="minorHAnsi" w:hAnsiTheme="minorHAnsi" w:cstheme="minorHAnsi"/>
          <w:sz w:val="20"/>
          <w:szCs w:val="20"/>
        </w:rPr>
        <w:t xml:space="preserve">SSRS is a full-service market and survey research firm managed by a core of dedicated professionals with advanced degrees in the social sciences. Service offerings include the Omnibus Survey, Probability Panel and other Online Solutions as well as custom research programs – all driven by a central commitment to methodological rigor. The SSRS team is renowned for its multimodal approach, as well as its sophisticated and proprietary sample designs. Typical projects for the company include complex strategic, </w:t>
      </w:r>
      <w:proofErr w:type="gramStart"/>
      <w:r w:rsidRPr="008F2B23">
        <w:rPr>
          <w:rFonts w:asciiTheme="minorHAnsi" w:eastAsiaTheme="minorHAnsi" w:hAnsiTheme="minorHAnsi" w:cstheme="minorHAnsi"/>
          <w:sz w:val="20"/>
          <w:szCs w:val="20"/>
        </w:rPr>
        <w:t>tactical</w:t>
      </w:r>
      <w:proofErr w:type="gramEnd"/>
      <w:r w:rsidRPr="008F2B23">
        <w:rPr>
          <w:rFonts w:asciiTheme="minorHAnsi" w:eastAsiaTheme="minorHAnsi" w:hAnsiTheme="minorHAnsi" w:cstheme="minorHAnsi"/>
          <w:sz w:val="20"/>
          <w:szCs w:val="20"/>
        </w:rPr>
        <w:t xml:space="preserve"> and public opinion initiatives in the U.S. and in more than 40 countries worldwide. SSRS is research, refined. Visit </w:t>
      </w:r>
      <w:hyperlink r:id="rId24" w:history="1">
        <w:r w:rsidRPr="008F2B23">
          <w:rPr>
            <w:rStyle w:val="Hyperlink"/>
            <w:rFonts w:asciiTheme="minorHAnsi" w:eastAsiaTheme="minorHAnsi" w:hAnsiTheme="minorHAnsi" w:cstheme="minorHAnsi"/>
            <w:sz w:val="20"/>
            <w:szCs w:val="20"/>
          </w:rPr>
          <w:t>www.ssrs.com</w:t>
        </w:r>
      </w:hyperlink>
      <w:r w:rsidRPr="008F2B23">
        <w:rPr>
          <w:rFonts w:asciiTheme="minorHAnsi" w:eastAsiaTheme="minorHAnsi" w:hAnsiTheme="minorHAnsi" w:cstheme="minorHAnsi"/>
          <w:sz w:val="20"/>
          <w:szCs w:val="20"/>
        </w:rPr>
        <w:t xml:space="preserve"> for more information.</w:t>
      </w:r>
    </w:p>
    <w:p w14:paraId="26E77EC5" w14:textId="77777777" w:rsidR="00B821E4" w:rsidRPr="00B2425D" w:rsidRDefault="00B821E4" w:rsidP="00A46A9E">
      <w:pPr>
        <w:tabs>
          <w:tab w:val="left" w:pos="-1080"/>
          <w:tab w:val="left" w:pos="-648"/>
          <w:tab w:val="left" w:pos="0"/>
          <w:tab w:val="left" w:pos="792"/>
          <w:tab w:val="left" w:pos="1512"/>
          <w:tab w:val="left" w:pos="2232"/>
          <w:tab w:val="left" w:pos="2952"/>
          <w:tab w:val="left" w:pos="3672"/>
          <w:tab w:val="left" w:pos="4392"/>
          <w:tab w:val="left" w:pos="5112"/>
          <w:tab w:val="left" w:pos="5832"/>
          <w:tab w:val="left" w:pos="6552"/>
          <w:tab w:val="left" w:pos="7272"/>
          <w:tab w:val="left" w:pos="7992"/>
          <w:tab w:val="left" w:pos="8712"/>
          <w:tab w:val="left" w:pos="9432"/>
        </w:tabs>
        <w:rPr>
          <w:szCs w:val="21"/>
        </w:rPr>
      </w:pPr>
    </w:p>
    <w:sectPr w:rsidR="00B821E4" w:rsidRPr="00B2425D" w:rsidSect="00C60105">
      <w:type w:val="continuous"/>
      <w:pgSz w:w="12240" w:h="15840"/>
      <w:pgMar w:top="1440" w:right="1440" w:bottom="1440" w:left="1440" w:header="720" w:footer="720" w:gutter="0"/>
      <w:cols w:space="432"/>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CE0E5" w14:textId="77777777" w:rsidR="00403CEF" w:rsidRDefault="00403CEF" w:rsidP="00D86844">
      <w:pPr>
        <w:spacing w:after="0" w:line="240" w:lineRule="auto"/>
      </w:pPr>
      <w:r>
        <w:separator/>
      </w:r>
    </w:p>
  </w:endnote>
  <w:endnote w:type="continuationSeparator" w:id="0">
    <w:p w14:paraId="556A32D2" w14:textId="77777777" w:rsidR="00403CEF" w:rsidRDefault="00403CEF" w:rsidP="00D86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kzidenz Grotesk BE Regular">
    <w:altName w:val="Calibri"/>
    <w:panose1 w:val="020B0604020202020204"/>
    <w:charset w:val="00"/>
    <w:family w:val="modern"/>
    <w:notTrueType/>
    <w:pitch w:val="variable"/>
    <w:sig w:usb0="8000002F" w:usb1="4000004A" w:usb2="00000000" w:usb3="00000000" w:csb0="00000001" w:csb1="00000000"/>
  </w:font>
  <w:font w:name="Segoe UI">
    <w:panose1 w:val="020B0604020202020204"/>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pperplate Gothic">
    <w:altName w:val="Cambria"/>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Light">
    <w:panose1 w:val="020B0604020202020204"/>
    <w:charset w:val="00"/>
    <w:family w:val="swiss"/>
    <w:pitch w:val="variable"/>
    <w:sig w:usb0="E4002EFF" w:usb1="C000E47F" w:usb2="00000009" w:usb3="00000000" w:csb0="000001FF" w:csb1="00000000"/>
  </w:font>
  <w:font w:name="Segoe UI Semibold">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44DB3" w14:textId="1EF80ADD" w:rsidR="00957891" w:rsidRPr="00A01739" w:rsidRDefault="00957891" w:rsidP="00A01739">
    <w:pPr>
      <w:jc w:val="right"/>
      <w:rPr>
        <w:sz w:val="18"/>
      </w:rPr>
    </w:pPr>
    <w:r>
      <w:rPr>
        <w:sz w:val="18"/>
      </w:rPr>
      <w:t xml:space="preserve">Texans' </w:t>
    </w:r>
    <w:r w:rsidR="00EE76A0">
      <w:rPr>
        <w:sz w:val="18"/>
      </w:rPr>
      <w:t xml:space="preserve">Views on Health Policy and </w:t>
    </w:r>
    <w:r>
      <w:rPr>
        <w:sz w:val="18"/>
      </w:rPr>
      <w:t>Experiences with</w:t>
    </w:r>
    <w:r w:rsidR="00EE76A0">
      <w:rPr>
        <w:sz w:val="18"/>
      </w:rPr>
      <w:t xml:space="preserve"> Access and</w:t>
    </w:r>
    <w:r>
      <w:rPr>
        <w:sz w:val="18"/>
      </w:rPr>
      <w:t xml:space="preserve"> Affordability |</w:t>
    </w:r>
    <w:r w:rsidRPr="002977E9">
      <w:rPr>
        <w:sz w:val="18"/>
      </w:rPr>
      <w:t xml:space="preserve"> </w:t>
    </w:r>
    <w:r w:rsidRPr="002977E9">
      <w:rPr>
        <w:sz w:val="18"/>
      </w:rPr>
      <w:fldChar w:fldCharType="begin"/>
    </w:r>
    <w:r w:rsidRPr="002977E9">
      <w:rPr>
        <w:sz w:val="18"/>
      </w:rPr>
      <w:instrText xml:space="preserve"> PAGE   \* MERGEFORMAT </w:instrText>
    </w:r>
    <w:r w:rsidRPr="002977E9">
      <w:rPr>
        <w:sz w:val="18"/>
      </w:rPr>
      <w:fldChar w:fldCharType="separate"/>
    </w:r>
    <w:r>
      <w:rPr>
        <w:noProof/>
        <w:sz w:val="18"/>
      </w:rPr>
      <w:t>13</w:t>
    </w:r>
    <w:r w:rsidRPr="002977E9">
      <w:rPr>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E80C1" w14:textId="77777777" w:rsidR="00403CEF" w:rsidRDefault="00403CEF" w:rsidP="00D86844">
      <w:pPr>
        <w:spacing w:after="0" w:line="240" w:lineRule="auto"/>
      </w:pPr>
      <w:r>
        <w:separator/>
      </w:r>
    </w:p>
  </w:footnote>
  <w:footnote w:type="continuationSeparator" w:id="0">
    <w:p w14:paraId="2C984C13" w14:textId="77777777" w:rsidR="00403CEF" w:rsidRDefault="00403CEF" w:rsidP="00D86844">
      <w:pPr>
        <w:spacing w:after="0" w:line="240" w:lineRule="auto"/>
      </w:pPr>
      <w:r>
        <w:continuationSeparator/>
      </w:r>
    </w:p>
  </w:footnote>
  <w:footnote w:id="1">
    <w:p w14:paraId="03DAC7F2" w14:textId="25E0C208" w:rsidR="00106D4D" w:rsidRDefault="00106D4D">
      <w:pPr>
        <w:pStyle w:val="FootnoteText"/>
      </w:pPr>
      <w:r>
        <w:rPr>
          <w:rStyle w:val="FootnoteReference"/>
        </w:rPr>
        <w:footnoteRef/>
      </w:r>
      <w:r>
        <w:t xml:space="preserve"> </w:t>
      </w:r>
      <w:r w:rsidR="00183857" w:rsidRPr="006D60AD">
        <w:rPr>
          <w:sz w:val="16"/>
          <w:szCs w:val="16"/>
        </w:rPr>
        <w:t xml:space="preserve">Sim, S., Marks, E., Ben-Porath E., Sutton, J. (2020). </w:t>
      </w:r>
      <w:r w:rsidR="00183857" w:rsidRPr="006D60AD">
        <w:rPr>
          <w:i/>
          <w:iCs/>
          <w:sz w:val="16"/>
          <w:szCs w:val="16"/>
        </w:rPr>
        <w:t>Texas Residents' Views on State Health Policy Priorities</w:t>
      </w:r>
      <w:r w:rsidR="00183857">
        <w:rPr>
          <w:sz w:val="16"/>
          <w:szCs w:val="16"/>
        </w:rPr>
        <w:t xml:space="preserve">. Retrieved from: </w:t>
      </w:r>
      <w:r w:rsidR="00183857" w:rsidRPr="00183857">
        <w:rPr>
          <w:sz w:val="16"/>
          <w:szCs w:val="16"/>
        </w:rPr>
        <w:t>https://www.episcopalhealth.org/research-report/new-texas-health-policy-poll-texans-show-sweeping-support-for-expanding-medicaid/</w:t>
      </w:r>
    </w:p>
  </w:footnote>
  <w:footnote w:id="2">
    <w:p w14:paraId="304CECB3" w14:textId="430D4B4A" w:rsidR="00CB3EF6" w:rsidRDefault="00CB3EF6">
      <w:pPr>
        <w:pStyle w:val="FootnoteText"/>
      </w:pPr>
      <w:r>
        <w:rPr>
          <w:rStyle w:val="FootnoteReference"/>
        </w:rPr>
        <w:footnoteRef/>
      </w:r>
      <w:r>
        <w:t xml:space="preserve"> </w:t>
      </w:r>
      <w:r w:rsidRPr="002A0DCF">
        <w:rPr>
          <w:sz w:val="16"/>
          <w:szCs w:val="16"/>
        </w:rPr>
        <w:t>https://files.kff.org/attachment/TOPLINE-KFF-COVID-19-Vaccine-Monitor-November-2021.pdf</w:t>
      </w:r>
    </w:p>
  </w:footnote>
  <w:footnote w:id="3">
    <w:p w14:paraId="47AE45D2" w14:textId="77777777" w:rsidR="00957891" w:rsidRPr="008F2B23" w:rsidRDefault="00957891" w:rsidP="00CE23CD">
      <w:pPr>
        <w:pStyle w:val="FootnoteText"/>
        <w:rPr>
          <w:sz w:val="16"/>
          <w:szCs w:val="16"/>
        </w:rPr>
      </w:pPr>
      <w:r w:rsidRPr="008F2B23">
        <w:rPr>
          <w:rStyle w:val="FootnoteReference"/>
          <w:sz w:val="16"/>
          <w:szCs w:val="16"/>
        </w:rPr>
        <w:footnoteRef/>
      </w:r>
      <w:r w:rsidRPr="008F2B23">
        <w:rPr>
          <w:sz w:val="16"/>
          <w:szCs w:val="16"/>
        </w:rPr>
        <w:t xml:space="preserve"> Hamel, L., Wu, B., Brodie, M., Sim, S., Marks, E. (2018). </w:t>
      </w:r>
      <w:r w:rsidRPr="008F2B23">
        <w:rPr>
          <w:i/>
          <w:iCs/>
          <w:sz w:val="16"/>
          <w:szCs w:val="16"/>
        </w:rPr>
        <w:t xml:space="preserve">Texas Residents’ Views on State and National Health Policy Priorities. </w:t>
      </w:r>
      <w:r w:rsidRPr="008F2B23">
        <w:rPr>
          <w:sz w:val="16"/>
          <w:szCs w:val="16"/>
        </w:rPr>
        <w:t>Retrieved from: https://www.episcopalhealth.org/research-reports/</w:t>
      </w:r>
    </w:p>
  </w:footnote>
  <w:footnote w:id="4">
    <w:p w14:paraId="03B95C04" w14:textId="77777777" w:rsidR="00957891" w:rsidRPr="00FA5B38" w:rsidRDefault="00957891" w:rsidP="00CE23CD">
      <w:pPr>
        <w:pStyle w:val="FootnoteText"/>
      </w:pPr>
      <w:r w:rsidRPr="008F2B23">
        <w:rPr>
          <w:rStyle w:val="FootnoteReference"/>
          <w:sz w:val="16"/>
          <w:szCs w:val="16"/>
        </w:rPr>
        <w:footnoteRef/>
      </w:r>
      <w:r w:rsidRPr="008F2B23">
        <w:rPr>
          <w:sz w:val="16"/>
          <w:szCs w:val="16"/>
        </w:rPr>
        <w:t xml:space="preserve"> Sim, S., Mark, E., Ben-Porath, E., Hachey, E., Su, J. (2019). </w:t>
      </w:r>
      <w:r w:rsidRPr="008F2B23">
        <w:rPr>
          <w:i/>
          <w:iCs/>
          <w:sz w:val="16"/>
          <w:szCs w:val="16"/>
        </w:rPr>
        <w:t xml:space="preserve">Texas Residents’ Views on State and National Health Policy Priorities. </w:t>
      </w:r>
      <w:r w:rsidRPr="008F2B23">
        <w:rPr>
          <w:sz w:val="16"/>
          <w:szCs w:val="16"/>
        </w:rPr>
        <w:t>Retrieved from: https://www.episcopalhealth.org/research-reports/</w:t>
      </w:r>
    </w:p>
  </w:footnote>
  <w:footnote w:id="5">
    <w:p w14:paraId="36F16254" w14:textId="01093CE3" w:rsidR="006D60AD" w:rsidRPr="006D60AD" w:rsidRDefault="006D60AD" w:rsidP="006D60AD">
      <w:pPr>
        <w:pStyle w:val="FootnoteText"/>
        <w:jc w:val="left"/>
        <w:rPr>
          <w:sz w:val="16"/>
          <w:szCs w:val="16"/>
        </w:rPr>
      </w:pPr>
      <w:r w:rsidRPr="006D60AD">
        <w:rPr>
          <w:rStyle w:val="FootnoteReference"/>
          <w:sz w:val="16"/>
          <w:szCs w:val="16"/>
        </w:rPr>
        <w:footnoteRef/>
      </w:r>
      <w:r w:rsidRPr="006D60AD">
        <w:rPr>
          <w:sz w:val="16"/>
          <w:szCs w:val="16"/>
        </w:rPr>
        <w:t xml:space="preserve"> Sim, S., Marks, E., Ben-Porath E., Sutton, J. (2020). </w:t>
      </w:r>
      <w:r w:rsidRPr="006D60AD">
        <w:rPr>
          <w:i/>
          <w:iCs/>
          <w:sz w:val="16"/>
          <w:szCs w:val="16"/>
        </w:rPr>
        <w:t>Texas Residents' Views on State Health Policy Priorities</w:t>
      </w:r>
      <w:r>
        <w:rPr>
          <w:sz w:val="16"/>
          <w:szCs w:val="16"/>
        </w:rPr>
        <w:t xml:space="preserve">. Retrieved from: </w:t>
      </w:r>
      <w:r w:rsidR="00183857" w:rsidRPr="00183857">
        <w:rPr>
          <w:sz w:val="16"/>
          <w:szCs w:val="16"/>
        </w:rPr>
        <w:t>https://www.episcopalhealth.org/research-report/new-texas-health-policy-poll-texans-show-sweeping-support-for-expanding-medicaid/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ACACE" w14:textId="56491AEE" w:rsidR="006D21E1" w:rsidRDefault="006D21E1" w:rsidP="005C7DFA">
    <w:pPr>
      <w:pStyle w:val="Header"/>
      <w:tabs>
        <w:tab w:val="clear" w:pos="4680"/>
        <w:tab w:val="clear" w:pos="9360"/>
        <w:tab w:val="left" w:pos="1728"/>
      </w:tabs>
      <w:rPr>
        <w:noProof/>
        <w:sz w:val="16"/>
      </w:rPr>
    </w:pPr>
    <w:r w:rsidRPr="00BA6833">
      <w:rPr>
        <w:noProof/>
        <w:sz w:val="16"/>
      </w:rPr>
      <w:drawing>
        <wp:anchor distT="0" distB="0" distL="114300" distR="114300" simplePos="0" relativeHeight="251659264" behindDoc="1" locked="0" layoutInCell="1" allowOverlap="1" wp14:anchorId="4D9AF6C0" wp14:editId="5D6E143E">
          <wp:simplePos x="0" y="0"/>
          <wp:positionH relativeFrom="page">
            <wp:align>left</wp:align>
          </wp:positionH>
          <wp:positionV relativeFrom="paragraph">
            <wp:posOffset>-461176</wp:posOffset>
          </wp:positionV>
          <wp:extent cx="7810500" cy="985962"/>
          <wp:effectExtent l="0" t="0" r="0" b="5080"/>
          <wp:wrapNone/>
          <wp:docPr id="19" name="Picture 19" descr="&#10;&#10;&#10;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10;&#10;&#10;Shape, rectangl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10500" cy="985962"/>
                  </a:xfrm>
                  <a:prstGeom prst="rect">
                    <a:avLst/>
                  </a:prstGeom>
                </pic:spPr>
              </pic:pic>
            </a:graphicData>
          </a:graphic>
          <wp14:sizeRelH relativeFrom="page">
            <wp14:pctWidth>0</wp14:pctWidth>
          </wp14:sizeRelH>
          <wp14:sizeRelV relativeFrom="page">
            <wp14:pctHeight>0</wp14:pctHeight>
          </wp14:sizeRelV>
        </wp:anchor>
      </w:drawing>
    </w:r>
  </w:p>
  <w:p w14:paraId="5C790F14" w14:textId="77777777" w:rsidR="006D21E1" w:rsidRDefault="006D21E1" w:rsidP="005C7DFA">
    <w:pPr>
      <w:pStyle w:val="Header"/>
      <w:tabs>
        <w:tab w:val="clear" w:pos="4680"/>
        <w:tab w:val="clear" w:pos="9360"/>
        <w:tab w:val="left" w:pos="1728"/>
      </w:tabs>
      <w:rPr>
        <w:noProof/>
        <w:sz w:val="16"/>
      </w:rPr>
    </w:pPr>
  </w:p>
  <w:p w14:paraId="79C32FF7" w14:textId="77777777" w:rsidR="006D21E1" w:rsidRDefault="006D21E1" w:rsidP="005C7DFA">
    <w:pPr>
      <w:pStyle w:val="Header"/>
      <w:tabs>
        <w:tab w:val="clear" w:pos="4680"/>
        <w:tab w:val="clear" w:pos="9360"/>
        <w:tab w:val="left" w:pos="1728"/>
      </w:tabs>
      <w:rPr>
        <w:noProof/>
        <w:sz w:val="16"/>
      </w:rPr>
    </w:pPr>
  </w:p>
  <w:p w14:paraId="2AE9615E" w14:textId="77777777" w:rsidR="006D21E1" w:rsidRDefault="006D21E1" w:rsidP="005C7DFA">
    <w:pPr>
      <w:pStyle w:val="Header"/>
      <w:tabs>
        <w:tab w:val="clear" w:pos="4680"/>
        <w:tab w:val="clear" w:pos="9360"/>
        <w:tab w:val="left" w:pos="1728"/>
      </w:tabs>
      <w:rPr>
        <w:noProof/>
        <w:sz w:val="16"/>
      </w:rPr>
    </w:pPr>
  </w:p>
  <w:p w14:paraId="098B8375" w14:textId="501403FA" w:rsidR="00957891" w:rsidRDefault="00957891" w:rsidP="005C7DFA">
    <w:pPr>
      <w:pStyle w:val="Header"/>
      <w:tabs>
        <w:tab w:val="clear" w:pos="4680"/>
        <w:tab w:val="clear" w:pos="9360"/>
        <w:tab w:val="left" w:pos="1728"/>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E20C8"/>
    <w:multiLevelType w:val="hybridMultilevel"/>
    <w:tmpl w:val="98D6C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E4059D"/>
    <w:multiLevelType w:val="hybridMultilevel"/>
    <w:tmpl w:val="C5DABC76"/>
    <w:lvl w:ilvl="0" w:tplc="34EA5762">
      <w:start w:val="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F085E34"/>
    <w:multiLevelType w:val="hybridMultilevel"/>
    <w:tmpl w:val="6F8CB3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B6231E"/>
    <w:multiLevelType w:val="hybridMultilevel"/>
    <w:tmpl w:val="C964945E"/>
    <w:lvl w:ilvl="0" w:tplc="CF7EA0DE">
      <w:start w:val="1"/>
      <w:numFmt w:val="bullet"/>
      <w:lvlText w:val=""/>
      <w:lvlJc w:val="left"/>
      <w:pPr>
        <w:ind w:left="720" w:hanging="360"/>
      </w:pPr>
      <w:rPr>
        <w:rFonts w:ascii="Symbol" w:hAnsi="Symbol" w:hint="default"/>
        <w:color w:val="20A5E8"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0F6910"/>
    <w:multiLevelType w:val="hybridMultilevel"/>
    <w:tmpl w:val="AEFC8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2B8023D0">
      <w:start w:val="1"/>
      <w:numFmt w:val="bullet"/>
      <w:lvlText w:val=""/>
      <w:lvlJc w:val="left"/>
      <w:pPr>
        <w:ind w:left="2880" w:hanging="360"/>
      </w:pPr>
      <w:rPr>
        <w:rFonts w:ascii="Symbol" w:hAnsi="Symbol" w:hint="default"/>
        <w:color w:val="20A5E8" w:themeColor="accent1"/>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CB707E"/>
    <w:multiLevelType w:val="hybridMultilevel"/>
    <w:tmpl w:val="18A49DF4"/>
    <w:lvl w:ilvl="0" w:tplc="A5FAFF4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22B66732"/>
    <w:multiLevelType w:val="hybridMultilevel"/>
    <w:tmpl w:val="7AAA4CA4"/>
    <w:lvl w:ilvl="0" w:tplc="DC6815A8">
      <w:start w:val="1"/>
      <w:numFmt w:val="bullet"/>
      <w:lvlText w:val=""/>
      <w:lvlJc w:val="left"/>
      <w:pPr>
        <w:ind w:left="720" w:hanging="360"/>
      </w:pPr>
      <w:rPr>
        <w:rFonts w:ascii="Symbol" w:hAnsi="Symbol" w:hint="default"/>
        <w:color w:val="20A5E8"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F15B96"/>
    <w:multiLevelType w:val="hybridMultilevel"/>
    <w:tmpl w:val="8786A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7C4204"/>
    <w:multiLevelType w:val="hybridMultilevel"/>
    <w:tmpl w:val="C4BE2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A428D5"/>
    <w:multiLevelType w:val="hybridMultilevel"/>
    <w:tmpl w:val="3A902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494914"/>
    <w:multiLevelType w:val="hybridMultilevel"/>
    <w:tmpl w:val="85FEE2DE"/>
    <w:lvl w:ilvl="0" w:tplc="04090001">
      <w:start w:val="1"/>
      <w:numFmt w:val="bullet"/>
      <w:lvlText w:val=""/>
      <w:lvlJc w:val="left"/>
      <w:pPr>
        <w:ind w:left="720" w:hanging="360"/>
      </w:pPr>
      <w:rPr>
        <w:rFonts w:ascii="Symbol" w:hAnsi="Symbol" w:hint="default"/>
      </w:rPr>
    </w:lvl>
    <w:lvl w:ilvl="1" w:tplc="F2E8466A">
      <w:start w:val="1"/>
      <w:numFmt w:val="bullet"/>
      <w:lvlText w:val="–"/>
      <w:lvlJc w:val="left"/>
      <w:pPr>
        <w:ind w:left="1440" w:hanging="360"/>
      </w:pPr>
      <w:rPr>
        <w:rFonts w:ascii="Akzidenz Grotesk BE Regular" w:hAnsi="Akzidenz Grotesk BE Regula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D12E69"/>
    <w:multiLevelType w:val="hybridMultilevel"/>
    <w:tmpl w:val="67EC2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E032A3"/>
    <w:multiLevelType w:val="hybridMultilevel"/>
    <w:tmpl w:val="7B864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71277B"/>
    <w:multiLevelType w:val="hybridMultilevel"/>
    <w:tmpl w:val="BAB8B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35725E"/>
    <w:multiLevelType w:val="hybridMultilevel"/>
    <w:tmpl w:val="88F0ED22"/>
    <w:lvl w:ilvl="0" w:tplc="CF7EA0DE">
      <w:start w:val="1"/>
      <w:numFmt w:val="bullet"/>
      <w:lvlText w:val=""/>
      <w:lvlJc w:val="left"/>
      <w:pPr>
        <w:ind w:left="1080" w:hanging="360"/>
      </w:pPr>
      <w:rPr>
        <w:rFonts w:ascii="Symbol" w:hAnsi="Symbol" w:hint="default"/>
        <w:color w:val="20A5E8" w:themeColor="accen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19E24B9"/>
    <w:multiLevelType w:val="hybridMultilevel"/>
    <w:tmpl w:val="094AB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325E5E"/>
    <w:multiLevelType w:val="multilevel"/>
    <w:tmpl w:val="B128F1C4"/>
    <w:lvl w:ilvl="0">
      <w:start w:val="1"/>
      <w:numFmt w:val="decimal"/>
      <w:lvlText w:val="%1."/>
      <w:legacy w:legacy="1" w:legacySpace="0" w:legacyIndent="0"/>
      <w:lvlJc w:val="left"/>
      <w:pPr>
        <w:ind w:left="0" w:firstLine="0"/>
      </w:pPr>
    </w:lvl>
    <w:lvl w:ilvl="1">
      <w:start w:val="1"/>
      <w:numFmt w:val="lowerLetter"/>
      <w:lvlText w:val="%2."/>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7" w15:restartNumberingAfterBreak="0">
    <w:nsid w:val="3845629D"/>
    <w:multiLevelType w:val="hybridMultilevel"/>
    <w:tmpl w:val="C2BE6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B81BD7"/>
    <w:multiLevelType w:val="hybridMultilevel"/>
    <w:tmpl w:val="BBE6F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CC2B05"/>
    <w:multiLevelType w:val="hybridMultilevel"/>
    <w:tmpl w:val="AE907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5C2C89"/>
    <w:multiLevelType w:val="hybridMultilevel"/>
    <w:tmpl w:val="9ACC25CC"/>
    <w:lvl w:ilvl="0" w:tplc="CF7EA0DE">
      <w:start w:val="1"/>
      <w:numFmt w:val="bullet"/>
      <w:lvlText w:val=""/>
      <w:lvlJc w:val="left"/>
      <w:pPr>
        <w:ind w:left="720" w:hanging="360"/>
      </w:pPr>
      <w:rPr>
        <w:rFonts w:ascii="Symbol" w:hAnsi="Symbol" w:hint="default"/>
        <w:color w:val="20A5E8"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714463"/>
    <w:multiLevelType w:val="hybridMultilevel"/>
    <w:tmpl w:val="21F8B2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FE62363"/>
    <w:multiLevelType w:val="hybridMultilevel"/>
    <w:tmpl w:val="85D254C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15:restartNumberingAfterBreak="0">
    <w:nsid w:val="471245D1"/>
    <w:multiLevelType w:val="hybridMultilevel"/>
    <w:tmpl w:val="344C8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42787F"/>
    <w:multiLevelType w:val="hybridMultilevel"/>
    <w:tmpl w:val="E29AF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A84DCE"/>
    <w:multiLevelType w:val="hybridMultilevel"/>
    <w:tmpl w:val="3B36D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D71CD5"/>
    <w:multiLevelType w:val="hybridMultilevel"/>
    <w:tmpl w:val="7FEC1B32"/>
    <w:lvl w:ilvl="0" w:tplc="CF7EA0DE">
      <w:start w:val="1"/>
      <w:numFmt w:val="bullet"/>
      <w:lvlText w:val=""/>
      <w:lvlJc w:val="left"/>
      <w:pPr>
        <w:ind w:left="720" w:hanging="360"/>
      </w:pPr>
      <w:rPr>
        <w:rFonts w:ascii="Symbol" w:hAnsi="Symbol" w:hint="default"/>
        <w:color w:val="20A5E8"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6C6ADA"/>
    <w:multiLevelType w:val="hybridMultilevel"/>
    <w:tmpl w:val="0B728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C01590"/>
    <w:multiLevelType w:val="hybridMultilevel"/>
    <w:tmpl w:val="C23C0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B165F4"/>
    <w:multiLevelType w:val="hybridMultilevel"/>
    <w:tmpl w:val="6D166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AF73C5"/>
    <w:multiLevelType w:val="hybridMultilevel"/>
    <w:tmpl w:val="22CC2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560A47"/>
    <w:multiLevelType w:val="hybridMultilevel"/>
    <w:tmpl w:val="F0AA49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992B5E"/>
    <w:multiLevelType w:val="hybridMultilevel"/>
    <w:tmpl w:val="FC028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564A9F"/>
    <w:multiLevelType w:val="hybridMultilevel"/>
    <w:tmpl w:val="DC2AF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A37768"/>
    <w:multiLevelType w:val="hybridMultilevel"/>
    <w:tmpl w:val="F0AA49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E47CB8"/>
    <w:multiLevelType w:val="hybridMultilevel"/>
    <w:tmpl w:val="0A1E97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5C5BA2"/>
    <w:multiLevelType w:val="hybridMultilevel"/>
    <w:tmpl w:val="2780BEE8"/>
    <w:lvl w:ilvl="0" w:tplc="CF7EA0DE">
      <w:start w:val="1"/>
      <w:numFmt w:val="bullet"/>
      <w:lvlText w:val=""/>
      <w:lvlJc w:val="left"/>
      <w:pPr>
        <w:ind w:left="720" w:hanging="360"/>
      </w:pPr>
      <w:rPr>
        <w:rFonts w:ascii="Symbol" w:hAnsi="Symbol" w:hint="default"/>
        <w:color w:val="20A5E8"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DE303C"/>
    <w:multiLevelType w:val="hybridMultilevel"/>
    <w:tmpl w:val="50E23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C20206"/>
    <w:multiLevelType w:val="hybridMultilevel"/>
    <w:tmpl w:val="289E9568"/>
    <w:lvl w:ilvl="0" w:tplc="CF7EA0DE">
      <w:start w:val="1"/>
      <w:numFmt w:val="bullet"/>
      <w:lvlText w:val=""/>
      <w:lvlJc w:val="left"/>
      <w:pPr>
        <w:ind w:left="720" w:hanging="360"/>
      </w:pPr>
      <w:rPr>
        <w:rFonts w:ascii="Symbol" w:hAnsi="Symbol" w:hint="default"/>
        <w:color w:val="20A5E8"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5"/>
  </w:num>
  <w:num w:numId="3">
    <w:abstractNumId w:val="37"/>
  </w:num>
  <w:num w:numId="4">
    <w:abstractNumId w:val="17"/>
  </w:num>
  <w:num w:numId="5">
    <w:abstractNumId w:val="11"/>
  </w:num>
  <w:num w:numId="6">
    <w:abstractNumId w:val="36"/>
  </w:num>
  <w:num w:numId="7">
    <w:abstractNumId w:val="6"/>
  </w:num>
  <w:num w:numId="8">
    <w:abstractNumId w:val="29"/>
  </w:num>
  <w:num w:numId="9">
    <w:abstractNumId w:val="4"/>
  </w:num>
  <w:num w:numId="10">
    <w:abstractNumId w:val="31"/>
  </w:num>
  <w:num w:numId="11">
    <w:abstractNumId w:val="2"/>
  </w:num>
  <w:num w:numId="12">
    <w:abstractNumId w:val="16"/>
  </w:num>
  <w:num w:numId="13">
    <w:abstractNumId w:val="9"/>
  </w:num>
  <w:num w:numId="14">
    <w:abstractNumId w:val="32"/>
  </w:num>
  <w:num w:numId="15">
    <w:abstractNumId w:val="33"/>
  </w:num>
  <w:num w:numId="16">
    <w:abstractNumId w:val="7"/>
  </w:num>
  <w:num w:numId="17">
    <w:abstractNumId w:val="28"/>
  </w:num>
  <w:num w:numId="18">
    <w:abstractNumId w:val="30"/>
  </w:num>
  <w:num w:numId="19">
    <w:abstractNumId w:val="34"/>
  </w:num>
  <w:num w:numId="20">
    <w:abstractNumId w:val="5"/>
  </w:num>
  <w:num w:numId="21">
    <w:abstractNumId w:val="20"/>
  </w:num>
  <w:num w:numId="22">
    <w:abstractNumId w:val="38"/>
  </w:num>
  <w:num w:numId="23">
    <w:abstractNumId w:val="12"/>
  </w:num>
  <w:num w:numId="24">
    <w:abstractNumId w:val="8"/>
  </w:num>
  <w:num w:numId="25">
    <w:abstractNumId w:val="25"/>
  </w:num>
  <w:num w:numId="26">
    <w:abstractNumId w:val="0"/>
  </w:num>
  <w:num w:numId="27">
    <w:abstractNumId w:val="13"/>
  </w:num>
  <w:num w:numId="28">
    <w:abstractNumId w:val="21"/>
  </w:num>
  <w:num w:numId="29">
    <w:abstractNumId w:val="19"/>
  </w:num>
  <w:num w:numId="30">
    <w:abstractNumId w:val="18"/>
  </w:num>
  <w:num w:numId="31">
    <w:abstractNumId w:val="27"/>
  </w:num>
  <w:num w:numId="32">
    <w:abstractNumId w:val="35"/>
  </w:num>
  <w:num w:numId="33">
    <w:abstractNumId w:val="10"/>
  </w:num>
  <w:num w:numId="34">
    <w:abstractNumId w:val="26"/>
  </w:num>
  <w:num w:numId="35">
    <w:abstractNumId w:val="3"/>
  </w:num>
  <w:num w:numId="36">
    <w:abstractNumId w:val="24"/>
  </w:num>
  <w:num w:numId="37">
    <w:abstractNumId w:val="14"/>
  </w:num>
  <w:num w:numId="38">
    <w:abstractNumId w:val="23"/>
  </w:num>
  <w:num w:numId="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28D"/>
    <w:rsid w:val="00000AAA"/>
    <w:rsid w:val="00001524"/>
    <w:rsid w:val="00005757"/>
    <w:rsid w:val="00006FA7"/>
    <w:rsid w:val="000108FA"/>
    <w:rsid w:val="0001225B"/>
    <w:rsid w:val="0001344E"/>
    <w:rsid w:val="00013662"/>
    <w:rsid w:val="00013D75"/>
    <w:rsid w:val="00014378"/>
    <w:rsid w:val="0001768E"/>
    <w:rsid w:val="000200A6"/>
    <w:rsid w:val="00020939"/>
    <w:rsid w:val="000221BF"/>
    <w:rsid w:val="0002297D"/>
    <w:rsid w:val="00024266"/>
    <w:rsid w:val="0002718B"/>
    <w:rsid w:val="000276C9"/>
    <w:rsid w:val="000313AD"/>
    <w:rsid w:val="00031B44"/>
    <w:rsid w:val="00032657"/>
    <w:rsid w:val="0003267B"/>
    <w:rsid w:val="00035DE9"/>
    <w:rsid w:val="0003785A"/>
    <w:rsid w:val="0004000F"/>
    <w:rsid w:val="00041C87"/>
    <w:rsid w:val="00042402"/>
    <w:rsid w:val="00044245"/>
    <w:rsid w:val="00050B2A"/>
    <w:rsid w:val="000522C5"/>
    <w:rsid w:val="00052EB9"/>
    <w:rsid w:val="000539E9"/>
    <w:rsid w:val="00054030"/>
    <w:rsid w:val="00054149"/>
    <w:rsid w:val="00054CAA"/>
    <w:rsid w:val="00060557"/>
    <w:rsid w:val="000614A8"/>
    <w:rsid w:val="00070002"/>
    <w:rsid w:val="00072181"/>
    <w:rsid w:val="00072F76"/>
    <w:rsid w:val="000735C3"/>
    <w:rsid w:val="000738B1"/>
    <w:rsid w:val="000757AA"/>
    <w:rsid w:val="00080773"/>
    <w:rsid w:val="0008439A"/>
    <w:rsid w:val="00092602"/>
    <w:rsid w:val="000927F0"/>
    <w:rsid w:val="00097A44"/>
    <w:rsid w:val="000A0811"/>
    <w:rsid w:val="000A3AD0"/>
    <w:rsid w:val="000A3B27"/>
    <w:rsid w:val="000A454D"/>
    <w:rsid w:val="000A5C04"/>
    <w:rsid w:val="000A6F03"/>
    <w:rsid w:val="000B4443"/>
    <w:rsid w:val="000B4C9D"/>
    <w:rsid w:val="000C0B46"/>
    <w:rsid w:val="000C0BD9"/>
    <w:rsid w:val="000C0C05"/>
    <w:rsid w:val="000C0EB1"/>
    <w:rsid w:val="000C1887"/>
    <w:rsid w:val="000C7A61"/>
    <w:rsid w:val="000D388C"/>
    <w:rsid w:val="000E00B1"/>
    <w:rsid w:val="000E0368"/>
    <w:rsid w:val="000E25D9"/>
    <w:rsid w:val="000E2E94"/>
    <w:rsid w:val="000E3717"/>
    <w:rsid w:val="000E3C35"/>
    <w:rsid w:val="000E64A7"/>
    <w:rsid w:val="000F069E"/>
    <w:rsid w:val="000F1A93"/>
    <w:rsid w:val="000F5FAD"/>
    <w:rsid w:val="000F6997"/>
    <w:rsid w:val="000F7DC1"/>
    <w:rsid w:val="00101F8B"/>
    <w:rsid w:val="00103522"/>
    <w:rsid w:val="00105CE7"/>
    <w:rsid w:val="00106D4D"/>
    <w:rsid w:val="001070E2"/>
    <w:rsid w:val="0011002F"/>
    <w:rsid w:val="00111808"/>
    <w:rsid w:val="001125EA"/>
    <w:rsid w:val="001127CC"/>
    <w:rsid w:val="001166DB"/>
    <w:rsid w:val="0011680E"/>
    <w:rsid w:val="00117353"/>
    <w:rsid w:val="001228EE"/>
    <w:rsid w:val="00125CE1"/>
    <w:rsid w:val="00125FB4"/>
    <w:rsid w:val="00132365"/>
    <w:rsid w:val="00134B96"/>
    <w:rsid w:val="0013523A"/>
    <w:rsid w:val="0013617E"/>
    <w:rsid w:val="00136216"/>
    <w:rsid w:val="00140B9F"/>
    <w:rsid w:val="00140FBC"/>
    <w:rsid w:val="00141E77"/>
    <w:rsid w:val="00143178"/>
    <w:rsid w:val="00146411"/>
    <w:rsid w:val="00146AFA"/>
    <w:rsid w:val="0015025A"/>
    <w:rsid w:val="0015167D"/>
    <w:rsid w:val="001528EF"/>
    <w:rsid w:val="001549D9"/>
    <w:rsid w:val="00155680"/>
    <w:rsid w:val="00157BCE"/>
    <w:rsid w:val="00157C49"/>
    <w:rsid w:val="00157D2F"/>
    <w:rsid w:val="00157F11"/>
    <w:rsid w:val="00160555"/>
    <w:rsid w:val="00161611"/>
    <w:rsid w:val="0016286A"/>
    <w:rsid w:val="00166532"/>
    <w:rsid w:val="00171C6D"/>
    <w:rsid w:val="00172C92"/>
    <w:rsid w:val="001745C0"/>
    <w:rsid w:val="001752DD"/>
    <w:rsid w:val="0017628D"/>
    <w:rsid w:val="00176F68"/>
    <w:rsid w:val="001814CD"/>
    <w:rsid w:val="00183857"/>
    <w:rsid w:val="0018559F"/>
    <w:rsid w:val="001871BD"/>
    <w:rsid w:val="00191350"/>
    <w:rsid w:val="00193696"/>
    <w:rsid w:val="001937F1"/>
    <w:rsid w:val="0019425B"/>
    <w:rsid w:val="001949DF"/>
    <w:rsid w:val="001A0FEA"/>
    <w:rsid w:val="001A1543"/>
    <w:rsid w:val="001A4748"/>
    <w:rsid w:val="001A550A"/>
    <w:rsid w:val="001A5F72"/>
    <w:rsid w:val="001A63BC"/>
    <w:rsid w:val="001A6EF4"/>
    <w:rsid w:val="001B282D"/>
    <w:rsid w:val="001B2A40"/>
    <w:rsid w:val="001B301A"/>
    <w:rsid w:val="001B67FD"/>
    <w:rsid w:val="001B7E9F"/>
    <w:rsid w:val="001C2ACE"/>
    <w:rsid w:val="001C31EB"/>
    <w:rsid w:val="001C343A"/>
    <w:rsid w:val="001C4F8B"/>
    <w:rsid w:val="001C67BE"/>
    <w:rsid w:val="001C6C95"/>
    <w:rsid w:val="001C72F9"/>
    <w:rsid w:val="001D0123"/>
    <w:rsid w:val="001D1650"/>
    <w:rsid w:val="001D1D7B"/>
    <w:rsid w:val="001D476D"/>
    <w:rsid w:val="001D5E86"/>
    <w:rsid w:val="001D6D64"/>
    <w:rsid w:val="001E2BC9"/>
    <w:rsid w:val="001E2C21"/>
    <w:rsid w:val="001E52AB"/>
    <w:rsid w:val="001E532E"/>
    <w:rsid w:val="001E5F0A"/>
    <w:rsid w:val="001F0CE2"/>
    <w:rsid w:val="001F4E2A"/>
    <w:rsid w:val="00200310"/>
    <w:rsid w:val="002028F4"/>
    <w:rsid w:val="0020385B"/>
    <w:rsid w:val="00204218"/>
    <w:rsid w:val="00204336"/>
    <w:rsid w:val="002061EB"/>
    <w:rsid w:val="00210108"/>
    <w:rsid w:val="00210239"/>
    <w:rsid w:val="00210E53"/>
    <w:rsid w:val="002110E1"/>
    <w:rsid w:val="00212568"/>
    <w:rsid w:val="00212693"/>
    <w:rsid w:val="002225F5"/>
    <w:rsid w:val="00223126"/>
    <w:rsid w:val="002255FC"/>
    <w:rsid w:val="00225ABC"/>
    <w:rsid w:val="0023197D"/>
    <w:rsid w:val="00232253"/>
    <w:rsid w:val="002335E3"/>
    <w:rsid w:val="0023427B"/>
    <w:rsid w:val="00235733"/>
    <w:rsid w:val="00236575"/>
    <w:rsid w:val="00240C4F"/>
    <w:rsid w:val="00242983"/>
    <w:rsid w:val="00242D80"/>
    <w:rsid w:val="00242F33"/>
    <w:rsid w:val="00247FF6"/>
    <w:rsid w:val="00247FF7"/>
    <w:rsid w:val="002500DB"/>
    <w:rsid w:val="00250A59"/>
    <w:rsid w:val="00252C2F"/>
    <w:rsid w:val="002540B3"/>
    <w:rsid w:val="0025431F"/>
    <w:rsid w:val="002559CF"/>
    <w:rsid w:val="0025624F"/>
    <w:rsid w:val="00256D6D"/>
    <w:rsid w:val="0025731E"/>
    <w:rsid w:val="002575A0"/>
    <w:rsid w:val="00260476"/>
    <w:rsid w:val="00261337"/>
    <w:rsid w:val="002640A2"/>
    <w:rsid w:val="002648BA"/>
    <w:rsid w:val="00265A77"/>
    <w:rsid w:val="00265DA2"/>
    <w:rsid w:val="002666DD"/>
    <w:rsid w:val="00266B91"/>
    <w:rsid w:val="00267FE2"/>
    <w:rsid w:val="00271917"/>
    <w:rsid w:val="00276AF8"/>
    <w:rsid w:val="00280869"/>
    <w:rsid w:val="002815CC"/>
    <w:rsid w:val="00283528"/>
    <w:rsid w:val="00283595"/>
    <w:rsid w:val="00283EAC"/>
    <w:rsid w:val="002869E7"/>
    <w:rsid w:val="00286CB0"/>
    <w:rsid w:val="002877AB"/>
    <w:rsid w:val="002905FA"/>
    <w:rsid w:val="00290F95"/>
    <w:rsid w:val="00292321"/>
    <w:rsid w:val="00292E6D"/>
    <w:rsid w:val="00293225"/>
    <w:rsid w:val="002957C6"/>
    <w:rsid w:val="002957E5"/>
    <w:rsid w:val="002977E9"/>
    <w:rsid w:val="002A0DCF"/>
    <w:rsid w:val="002A1A69"/>
    <w:rsid w:val="002A36FF"/>
    <w:rsid w:val="002A4983"/>
    <w:rsid w:val="002A4FC0"/>
    <w:rsid w:val="002A5ABA"/>
    <w:rsid w:val="002A6F66"/>
    <w:rsid w:val="002A7D63"/>
    <w:rsid w:val="002B15F2"/>
    <w:rsid w:val="002B1973"/>
    <w:rsid w:val="002B4344"/>
    <w:rsid w:val="002B5746"/>
    <w:rsid w:val="002C03C4"/>
    <w:rsid w:val="002C1DF1"/>
    <w:rsid w:val="002C26FC"/>
    <w:rsid w:val="002C3159"/>
    <w:rsid w:val="002C5F22"/>
    <w:rsid w:val="002C79EE"/>
    <w:rsid w:val="002D28AF"/>
    <w:rsid w:val="002D462C"/>
    <w:rsid w:val="002E01DC"/>
    <w:rsid w:val="002E0227"/>
    <w:rsid w:val="002E1025"/>
    <w:rsid w:val="002E103D"/>
    <w:rsid w:val="002E109F"/>
    <w:rsid w:val="002E1DEC"/>
    <w:rsid w:val="002E24F7"/>
    <w:rsid w:val="002E59FF"/>
    <w:rsid w:val="002F06E6"/>
    <w:rsid w:val="002F15E1"/>
    <w:rsid w:val="002F19B6"/>
    <w:rsid w:val="002F592B"/>
    <w:rsid w:val="002F786C"/>
    <w:rsid w:val="00300CDB"/>
    <w:rsid w:val="003017C4"/>
    <w:rsid w:val="003040A9"/>
    <w:rsid w:val="00304EBC"/>
    <w:rsid w:val="00306291"/>
    <w:rsid w:val="00307742"/>
    <w:rsid w:val="003100B4"/>
    <w:rsid w:val="003116C2"/>
    <w:rsid w:val="00311CC0"/>
    <w:rsid w:val="003122C3"/>
    <w:rsid w:val="00312AB4"/>
    <w:rsid w:val="00312F31"/>
    <w:rsid w:val="003153DE"/>
    <w:rsid w:val="003155B7"/>
    <w:rsid w:val="00320A08"/>
    <w:rsid w:val="00323421"/>
    <w:rsid w:val="00326E72"/>
    <w:rsid w:val="00327DD9"/>
    <w:rsid w:val="003315FE"/>
    <w:rsid w:val="0033597D"/>
    <w:rsid w:val="00340FA8"/>
    <w:rsid w:val="00341361"/>
    <w:rsid w:val="00342CE1"/>
    <w:rsid w:val="00343C29"/>
    <w:rsid w:val="003440AF"/>
    <w:rsid w:val="0034567E"/>
    <w:rsid w:val="00350908"/>
    <w:rsid w:val="003522AD"/>
    <w:rsid w:val="00356B2C"/>
    <w:rsid w:val="0036478F"/>
    <w:rsid w:val="00364D39"/>
    <w:rsid w:val="00364F5D"/>
    <w:rsid w:val="00366223"/>
    <w:rsid w:val="00366F55"/>
    <w:rsid w:val="00367044"/>
    <w:rsid w:val="00371626"/>
    <w:rsid w:val="00374356"/>
    <w:rsid w:val="003807BA"/>
    <w:rsid w:val="00386C37"/>
    <w:rsid w:val="00387825"/>
    <w:rsid w:val="00390D76"/>
    <w:rsid w:val="0039286B"/>
    <w:rsid w:val="00392BCC"/>
    <w:rsid w:val="003936E9"/>
    <w:rsid w:val="003949B7"/>
    <w:rsid w:val="00394A20"/>
    <w:rsid w:val="00395102"/>
    <w:rsid w:val="00395521"/>
    <w:rsid w:val="00397BB1"/>
    <w:rsid w:val="00397E14"/>
    <w:rsid w:val="003A018F"/>
    <w:rsid w:val="003A061D"/>
    <w:rsid w:val="003A1B1D"/>
    <w:rsid w:val="003A329B"/>
    <w:rsid w:val="003A3E9A"/>
    <w:rsid w:val="003A44B8"/>
    <w:rsid w:val="003A49B8"/>
    <w:rsid w:val="003A5EAD"/>
    <w:rsid w:val="003B0265"/>
    <w:rsid w:val="003B0B70"/>
    <w:rsid w:val="003B191F"/>
    <w:rsid w:val="003B2B20"/>
    <w:rsid w:val="003B2F44"/>
    <w:rsid w:val="003B4E00"/>
    <w:rsid w:val="003C0EDF"/>
    <w:rsid w:val="003C17AA"/>
    <w:rsid w:val="003C4D5D"/>
    <w:rsid w:val="003C6A25"/>
    <w:rsid w:val="003C72A2"/>
    <w:rsid w:val="003D0B7A"/>
    <w:rsid w:val="003D10BB"/>
    <w:rsid w:val="003D13DF"/>
    <w:rsid w:val="003D178C"/>
    <w:rsid w:val="003D4384"/>
    <w:rsid w:val="003D67CC"/>
    <w:rsid w:val="003D77BF"/>
    <w:rsid w:val="003D7ACF"/>
    <w:rsid w:val="003E263B"/>
    <w:rsid w:val="003E2EE1"/>
    <w:rsid w:val="003E6E06"/>
    <w:rsid w:val="003E6E20"/>
    <w:rsid w:val="003F28ED"/>
    <w:rsid w:val="003F2B6D"/>
    <w:rsid w:val="003F308A"/>
    <w:rsid w:val="003F4459"/>
    <w:rsid w:val="003F4484"/>
    <w:rsid w:val="003F499D"/>
    <w:rsid w:val="003F7DE2"/>
    <w:rsid w:val="00402F00"/>
    <w:rsid w:val="0040392F"/>
    <w:rsid w:val="00403BD7"/>
    <w:rsid w:val="00403CEF"/>
    <w:rsid w:val="00404178"/>
    <w:rsid w:val="0040623C"/>
    <w:rsid w:val="00406743"/>
    <w:rsid w:val="00406AD3"/>
    <w:rsid w:val="0041093F"/>
    <w:rsid w:val="00414F88"/>
    <w:rsid w:val="00416827"/>
    <w:rsid w:val="00416AFC"/>
    <w:rsid w:val="00417035"/>
    <w:rsid w:val="00417091"/>
    <w:rsid w:val="00420473"/>
    <w:rsid w:val="00420CD8"/>
    <w:rsid w:val="0042325B"/>
    <w:rsid w:val="00423B25"/>
    <w:rsid w:val="00424823"/>
    <w:rsid w:val="00424881"/>
    <w:rsid w:val="00425309"/>
    <w:rsid w:val="00426A58"/>
    <w:rsid w:val="00427007"/>
    <w:rsid w:val="00432187"/>
    <w:rsid w:val="004355A9"/>
    <w:rsid w:val="00435B24"/>
    <w:rsid w:val="004368E4"/>
    <w:rsid w:val="00437916"/>
    <w:rsid w:val="00437CB5"/>
    <w:rsid w:val="0044271C"/>
    <w:rsid w:val="0045217D"/>
    <w:rsid w:val="004526EA"/>
    <w:rsid w:val="004534A7"/>
    <w:rsid w:val="00456710"/>
    <w:rsid w:val="00461D9C"/>
    <w:rsid w:val="00464D29"/>
    <w:rsid w:val="00465745"/>
    <w:rsid w:val="00465967"/>
    <w:rsid w:val="0046688E"/>
    <w:rsid w:val="00466B43"/>
    <w:rsid w:val="00471415"/>
    <w:rsid w:val="00471CEF"/>
    <w:rsid w:val="00471F1C"/>
    <w:rsid w:val="00473F68"/>
    <w:rsid w:val="00476CBF"/>
    <w:rsid w:val="004813BD"/>
    <w:rsid w:val="00484B58"/>
    <w:rsid w:val="0048603F"/>
    <w:rsid w:val="00486167"/>
    <w:rsid w:val="00491977"/>
    <w:rsid w:val="0049279E"/>
    <w:rsid w:val="00493132"/>
    <w:rsid w:val="00493BBB"/>
    <w:rsid w:val="00495538"/>
    <w:rsid w:val="004968F2"/>
    <w:rsid w:val="004A01A6"/>
    <w:rsid w:val="004A1613"/>
    <w:rsid w:val="004A2B4B"/>
    <w:rsid w:val="004A4E82"/>
    <w:rsid w:val="004A6267"/>
    <w:rsid w:val="004B0CDD"/>
    <w:rsid w:val="004B1E67"/>
    <w:rsid w:val="004B2F97"/>
    <w:rsid w:val="004B5414"/>
    <w:rsid w:val="004B5564"/>
    <w:rsid w:val="004B6FE3"/>
    <w:rsid w:val="004C0444"/>
    <w:rsid w:val="004C04EC"/>
    <w:rsid w:val="004C292F"/>
    <w:rsid w:val="004C2CBA"/>
    <w:rsid w:val="004C5191"/>
    <w:rsid w:val="004C63C9"/>
    <w:rsid w:val="004C6821"/>
    <w:rsid w:val="004C7546"/>
    <w:rsid w:val="004D01B2"/>
    <w:rsid w:val="004D5213"/>
    <w:rsid w:val="004D6530"/>
    <w:rsid w:val="004D6DE4"/>
    <w:rsid w:val="004E0CBB"/>
    <w:rsid w:val="004E21F4"/>
    <w:rsid w:val="004E234D"/>
    <w:rsid w:val="004E49ED"/>
    <w:rsid w:val="004F02B8"/>
    <w:rsid w:val="004F154F"/>
    <w:rsid w:val="004F248A"/>
    <w:rsid w:val="004F6701"/>
    <w:rsid w:val="00500575"/>
    <w:rsid w:val="00503EE4"/>
    <w:rsid w:val="00505D59"/>
    <w:rsid w:val="00510C98"/>
    <w:rsid w:val="00515A6F"/>
    <w:rsid w:val="0052008F"/>
    <w:rsid w:val="0052227E"/>
    <w:rsid w:val="00522758"/>
    <w:rsid w:val="00523F8C"/>
    <w:rsid w:val="0052485A"/>
    <w:rsid w:val="005250E9"/>
    <w:rsid w:val="00525FF4"/>
    <w:rsid w:val="0052726D"/>
    <w:rsid w:val="00530502"/>
    <w:rsid w:val="00531BBA"/>
    <w:rsid w:val="00532584"/>
    <w:rsid w:val="00533D67"/>
    <w:rsid w:val="00534895"/>
    <w:rsid w:val="005367BC"/>
    <w:rsid w:val="00546150"/>
    <w:rsid w:val="00546F11"/>
    <w:rsid w:val="00551EC6"/>
    <w:rsid w:val="005534DB"/>
    <w:rsid w:val="00553C86"/>
    <w:rsid w:val="00554757"/>
    <w:rsid w:val="00556B59"/>
    <w:rsid w:val="005576D3"/>
    <w:rsid w:val="00557D26"/>
    <w:rsid w:val="00560F47"/>
    <w:rsid w:val="00564C98"/>
    <w:rsid w:val="005666D1"/>
    <w:rsid w:val="005676B6"/>
    <w:rsid w:val="00567A75"/>
    <w:rsid w:val="00567D68"/>
    <w:rsid w:val="00570D37"/>
    <w:rsid w:val="00571F0E"/>
    <w:rsid w:val="00574804"/>
    <w:rsid w:val="00574AB2"/>
    <w:rsid w:val="00577546"/>
    <w:rsid w:val="00577E02"/>
    <w:rsid w:val="00580B2D"/>
    <w:rsid w:val="00582F3D"/>
    <w:rsid w:val="00583B6C"/>
    <w:rsid w:val="005848B8"/>
    <w:rsid w:val="0059364B"/>
    <w:rsid w:val="00594AAB"/>
    <w:rsid w:val="00594E68"/>
    <w:rsid w:val="005A103E"/>
    <w:rsid w:val="005A24EF"/>
    <w:rsid w:val="005A2B2F"/>
    <w:rsid w:val="005A2EEF"/>
    <w:rsid w:val="005A34ED"/>
    <w:rsid w:val="005A3D21"/>
    <w:rsid w:val="005A3D98"/>
    <w:rsid w:val="005A60E3"/>
    <w:rsid w:val="005A638A"/>
    <w:rsid w:val="005B09C9"/>
    <w:rsid w:val="005B4FFE"/>
    <w:rsid w:val="005B5E1E"/>
    <w:rsid w:val="005B7F5F"/>
    <w:rsid w:val="005C143E"/>
    <w:rsid w:val="005C19A9"/>
    <w:rsid w:val="005C3334"/>
    <w:rsid w:val="005C7D6B"/>
    <w:rsid w:val="005C7DFA"/>
    <w:rsid w:val="005D1A01"/>
    <w:rsid w:val="005D55EF"/>
    <w:rsid w:val="005D5662"/>
    <w:rsid w:val="005E1C8C"/>
    <w:rsid w:val="005E3487"/>
    <w:rsid w:val="005E5338"/>
    <w:rsid w:val="005E6022"/>
    <w:rsid w:val="005E667D"/>
    <w:rsid w:val="005F08A7"/>
    <w:rsid w:val="005F08AB"/>
    <w:rsid w:val="005F6E96"/>
    <w:rsid w:val="006000D7"/>
    <w:rsid w:val="00600127"/>
    <w:rsid w:val="00600B6E"/>
    <w:rsid w:val="00600E88"/>
    <w:rsid w:val="00600EB4"/>
    <w:rsid w:val="006036B8"/>
    <w:rsid w:val="00605C15"/>
    <w:rsid w:val="00605D34"/>
    <w:rsid w:val="006106FF"/>
    <w:rsid w:val="0061175F"/>
    <w:rsid w:val="0061449D"/>
    <w:rsid w:val="00616333"/>
    <w:rsid w:val="00616E07"/>
    <w:rsid w:val="00617353"/>
    <w:rsid w:val="006174E8"/>
    <w:rsid w:val="00620D77"/>
    <w:rsid w:val="00620D95"/>
    <w:rsid w:val="0062207C"/>
    <w:rsid w:val="006233FE"/>
    <w:rsid w:val="0062345A"/>
    <w:rsid w:val="00627A79"/>
    <w:rsid w:val="00630488"/>
    <w:rsid w:val="00636488"/>
    <w:rsid w:val="006425B2"/>
    <w:rsid w:val="00642731"/>
    <w:rsid w:val="0064515E"/>
    <w:rsid w:val="0064676D"/>
    <w:rsid w:val="00646ACC"/>
    <w:rsid w:val="00647222"/>
    <w:rsid w:val="006472C1"/>
    <w:rsid w:val="00652A47"/>
    <w:rsid w:val="00653B74"/>
    <w:rsid w:val="00661211"/>
    <w:rsid w:val="006614CC"/>
    <w:rsid w:val="006624BA"/>
    <w:rsid w:val="00664769"/>
    <w:rsid w:val="0066505B"/>
    <w:rsid w:val="00670688"/>
    <w:rsid w:val="00671DEC"/>
    <w:rsid w:val="00674400"/>
    <w:rsid w:val="0067536F"/>
    <w:rsid w:val="00676544"/>
    <w:rsid w:val="006802EF"/>
    <w:rsid w:val="0068225C"/>
    <w:rsid w:val="0068226C"/>
    <w:rsid w:val="00682901"/>
    <w:rsid w:val="006831D1"/>
    <w:rsid w:val="00684E11"/>
    <w:rsid w:val="0068653E"/>
    <w:rsid w:val="00687381"/>
    <w:rsid w:val="00687E8F"/>
    <w:rsid w:val="00690338"/>
    <w:rsid w:val="006924CD"/>
    <w:rsid w:val="00693A81"/>
    <w:rsid w:val="006976CF"/>
    <w:rsid w:val="006A2F91"/>
    <w:rsid w:val="006A4303"/>
    <w:rsid w:val="006A4939"/>
    <w:rsid w:val="006B37DA"/>
    <w:rsid w:val="006B5314"/>
    <w:rsid w:val="006B6CCA"/>
    <w:rsid w:val="006C1220"/>
    <w:rsid w:val="006C3EED"/>
    <w:rsid w:val="006C4168"/>
    <w:rsid w:val="006C44C5"/>
    <w:rsid w:val="006D16F3"/>
    <w:rsid w:val="006D17CF"/>
    <w:rsid w:val="006D2108"/>
    <w:rsid w:val="006D21E1"/>
    <w:rsid w:val="006D4DFA"/>
    <w:rsid w:val="006D60AD"/>
    <w:rsid w:val="006D614B"/>
    <w:rsid w:val="006E5AD5"/>
    <w:rsid w:val="006E6A44"/>
    <w:rsid w:val="006F0B12"/>
    <w:rsid w:val="006F196D"/>
    <w:rsid w:val="006F464E"/>
    <w:rsid w:val="006F5573"/>
    <w:rsid w:val="00701BA9"/>
    <w:rsid w:val="00704340"/>
    <w:rsid w:val="00707631"/>
    <w:rsid w:val="007076DE"/>
    <w:rsid w:val="007100E7"/>
    <w:rsid w:val="00711D83"/>
    <w:rsid w:val="00712385"/>
    <w:rsid w:val="00712B71"/>
    <w:rsid w:val="00712C98"/>
    <w:rsid w:val="0071344E"/>
    <w:rsid w:val="00714937"/>
    <w:rsid w:val="007205C5"/>
    <w:rsid w:val="00720D96"/>
    <w:rsid w:val="0072178C"/>
    <w:rsid w:val="00721FEB"/>
    <w:rsid w:val="007233DA"/>
    <w:rsid w:val="00723941"/>
    <w:rsid w:val="00723ED4"/>
    <w:rsid w:val="007256E6"/>
    <w:rsid w:val="007259D3"/>
    <w:rsid w:val="00730431"/>
    <w:rsid w:val="00731900"/>
    <w:rsid w:val="00732BDD"/>
    <w:rsid w:val="00733EC5"/>
    <w:rsid w:val="0073495F"/>
    <w:rsid w:val="007422F7"/>
    <w:rsid w:val="00742377"/>
    <w:rsid w:val="00742519"/>
    <w:rsid w:val="00743000"/>
    <w:rsid w:val="00743ACC"/>
    <w:rsid w:val="00743F12"/>
    <w:rsid w:val="00744338"/>
    <w:rsid w:val="00745A2A"/>
    <w:rsid w:val="00747B51"/>
    <w:rsid w:val="007521CB"/>
    <w:rsid w:val="00752F3B"/>
    <w:rsid w:val="0075466A"/>
    <w:rsid w:val="007546FB"/>
    <w:rsid w:val="00754BBE"/>
    <w:rsid w:val="0075502B"/>
    <w:rsid w:val="007552E6"/>
    <w:rsid w:val="00755787"/>
    <w:rsid w:val="00756686"/>
    <w:rsid w:val="007605E1"/>
    <w:rsid w:val="00761048"/>
    <w:rsid w:val="00764F72"/>
    <w:rsid w:val="00765263"/>
    <w:rsid w:val="007757F5"/>
    <w:rsid w:val="00781437"/>
    <w:rsid w:val="00781E24"/>
    <w:rsid w:val="00782468"/>
    <w:rsid w:val="00782E6B"/>
    <w:rsid w:val="007839A0"/>
    <w:rsid w:val="007869C5"/>
    <w:rsid w:val="007905DA"/>
    <w:rsid w:val="00790B92"/>
    <w:rsid w:val="00791F3F"/>
    <w:rsid w:val="00795190"/>
    <w:rsid w:val="00796966"/>
    <w:rsid w:val="00796E92"/>
    <w:rsid w:val="00797033"/>
    <w:rsid w:val="007A3D0B"/>
    <w:rsid w:val="007A5B10"/>
    <w:rsid w:val="007B20D7"/>
    <w:rsid w:val="007B20F3"/>
    <w:rsid w:val="007B6BA4"/>
    <w:rsid w:val="007C0F8A"/>
    <w:rsid w:val="007C12CC"/>
    <w:rsid w:val="007C25E2"/>
    <w:rsid w:val="007C30A0"/>
    <w:rsid w:val="007C4E52"/>
    <w:rsid w:val="007C606E"/>
    <w:rsid w:val="007C6106"/>
    <w:rsid w:val="007C63DC"/>
    <w:rsid w:val="007C6FDD"/>
    <w:rsid w:val="007C7B28"/>
    <w:rsid w:val="007D175B"/>
    <w:rsid w:val="007D22C2"/>
    <w:rsid w:val="007D400B"/>
    <w:rsid w:val="007D4E27"/>
    <w:rsid w:val="007D635C"/>
    <w:rsid w:val="007E4369"/>
    <w:rsid w:val="007E4FBD"/>
    <w:rsid w:val="007E68F0"/>
    <w:rsid w:val="007E6EDF"/>
    <w:rsid w:val="007F0B76"/>
    <w:rsid w:val="007F3EE9"/>
    <w:rsid w:val="007F6B2F"/>
    <w:rsid w:val="0080031D"/>
    <w:rsid w:val="00801F15"/>
    <w:rsid w:val="00804445"/>
    <w:rsid w:val="008053E1"/>
    <w:rsid w:val="00806CEC"/>
    <w:rsid w:val="0081166D"/>
    <w:rsid w:val="00811C14"/>
    <w:rsid w:val="00814440"/>
    <w:rsid w:val="008160EA"/>
    <w:rsid w:val="00816C39"/>
    <w:rsid w:val="00817B73"/>
    <w:rsid w:val="0082016D"/>
    <w:rsid w:val="00820797"/>
    <w:rsid w:val="008215B9"/>
    <w:rsid w:val="008245BD"/>
    <w:rsid w:val="00824E1D"/>
    <w:rsid w:val="0082577E"/>
    <w:rsid w:val="00825C07"/>
    <w:rsid w:val="00826437"/>
    <w:rsid w:val="00826804"/>
    <w:rsid w:val="008277AA"/>
    <w:rsid w:val="00831B1C"/>
    <w:rsid w:val="00831D80"/>
    <w:rsid w:val="00832B09"/>
    <w:rsid w:val="00832D32"/>
    <w:rsid w:val="00836073"/>
    <w:rsid w:val="00840554"/>
    <w:rsid w:val="008411C6"/>
    <w:rsid w:val="00842C48"/>
    <w:rsid w:val="0084560E"/>
    <w:rsid w:val="00845FA4"/>
    <w:rsid w:val="00851819"/>
    <w:rsid w:val="00851B9D"/>
    <w:rsid w:val="00852801"/>
    <w:rsid w:val="008531E6"/>
    <w:rsid w:val="00853B5C"/>
    <w:rsid w:val="00853C09"/>
    <w:rsid w:val="00861A2B"/>
    <w:rsid w:val="00862E6E"/>
    <w:rsid w:val="008642CA"/>
    <w:rsid w:val="008649D2"/>
    <w:rsid w:val="00866DF4"/>
    <w:rsid w:val="0086726C"/>
    <w:rsid w:val="00870A99"/>
    <w:rsid w:val="00870B0B"/>
    <w:rsid w:val="008733B0"/>
    <w:rsid w:val="00873BFD"/>
    <w:rsid w:val="00874046"/>
    <w:rsid w:val="00876170"/>
    <w:rsid w:val="00876CF5"/>
    <w:rsid w:val="00877193"/>
    <w:rsid w:val="00881312"/>
    <w:rsid w:val="00881B22"/>
    <w:rsid w:val="0088265D"/>
    <w:rsid w:val="0088466E"/>
    <w:rsid w:val="00887883"/>
    <w:rsid w:val="00887E6A"/>
    <w:rsid w:val="00891587"/>
    <w:rsid w:val="00892619"/>
    <w:rsid w:val="00893A88"/>
    <w:rsid w:val="00894072"/>
    <w:rsid w:val="0089583C"/>
    <w:rsid w:val="008A126F"/>
    <w:rsid w:val="008A496B"/>
    <w:rsid w:val="008B69C4"/>
    <w:rsid w:val="008C10B4"/>
    <w:rsid w:val="008C4614"/>
    <w:rsid w:val="008C4641"/>
    <w:rsid w:val="008D21F0"/>
    <w:rsid w:val="008E0704"/>
    <w:rsid w:val="008E1918"/>
    <w:rsid w:val="008E260D"/>
    <w:rsid w:val="008E2C58"/>
    <w:rsid w:val="008F2673"/>
    <w:rsid w:val="008F2B23"/>
    <w:rsid w:val="008F3EC4"/>
    <w:rsid w:val="008F464A"/>
    <w:rsid w:val="008F53C1"/>
    <w:rsid w:val="008F7294"/>
    <w:rsid w:val="009016FF"/>
    <w:rsid w:val="00907A1F"/>
    <w:rsid w:val="00910B96"/>
    <w:rsid w:val="009129A4"/>
    <w:rsid w:val="00913D79"/>
    <w:rsid w:val="00915A0E"/>
    <w:rsid w:val="009213E5"/>
    <w:rsid w:val="009225AF"/>
    <w:rsid w:val="00923363"/>
    <w:rsid w:val="00935A62"/>
    <w:rsid w:val="0093771A"/>
    <w:rsid w:val="009415A2"/>
    <w:rsid w:val="0094197C"/>
    <w:rsid w:val="00943390"/>
    <w:rsid w:val="009450DB"/>
    <w:rsid w:val="0094559B"/>
    <w:rsid w:val="00946A0F"/>
    <w:rsid w:val="009475D6"/>
    <w:rsid w:val="00947FA0"/>
    <w:rsid w:val="00957121"/>
    <w:rsid w:val="00957891"/>
    <w:rsid w:val="00957E94"/>
    <w:rsid w:val="009625B3"/>
    <w:rsid w:val="0096593E"/>
    <w:rsid w:val="00965E43"/>
    <w:rsid w:val="00966CE3"/>
    <w:rsid w:val="0097136A"/>
    <w:rsid w:val="00971439"/>
    <w:rsid w:val="00971BD9"/>
    <w:rsid w:val="0097264A"/>
    <w:rsid w:val="00972A33"/>
    <w:rsid w:val="00973C75"/>
    <w:rsid w:val="0097571F"/>
    <w:rsid w:val="00975CA4"/>
    <w:rsid w:val="00976764"/>
    <w:rsid w:val="00976E3E"/>
    <w:rsid w:val="009800CA"/>
    <w:rsid w:val="009812A6"/>
    <w:rsid w:val="00983F70"/>
    <w:rsid w:val="00992791"/>
    <w:rsid w:val="0099295D"/>
    <w:rsid w:val="00994C4A"/>
    <w:rsid w:val="00995230"/>
    <w:rsid w:val="00995CCC"/>
    <w:rsid w:val="00996168"/>
    <w:rsid w:val="00996E55"/>
    <w:rsid w:val="00997647"/>
    <w:rsid w:val="009A04D9"/>
    <w:rsid w:val="009A0CB6"/>
    <w:rsid w:val="009A35F3"/>
    <w:rsid w:val="009A620D"/>
    <w:rsid w:val="009A6C01"/>
    <w:rsid w:val="009A6D50"/>
    <w:rsid w:val="009B0717"/>
    <w:rsid w:val="009B1681"/>
    <w:rsid w:val="009C0A65"/>
    <w:rsid w:val="009C39AB"/>
    <w:rsid w:val="009C3A32"/>
    <w:rsid w:val="009C5033"/>
    <w:rsid w:val="009C71BC"/>
    <w:rsid w:val="009D1BA7"/>
    <w:rsid w:val="009D1C17"/>
    <w:rsid w:val="009D3EE3"/>
    <w:rsid w:val="009E22F5"/>
    <w:rsid w:val="009E6E1A"/>
    <w:rsid w:val="009E7A8F"/>
    <w:rsid w:val="009F0281"/>
    <w:rsid w:val="009F13B9"/>
    <w:rsid w:val="009F3261"/>
    <w:rsid w:val="009F3DA9"/>
    <w:rsid w:val="009F418F"/>
    <w:rsid w:val="00A00C4A"/>
    <w:rsid w:val="00A01739"/>
    <w:rsid w:val="00A0746C"/>
    <w:rsid w:val="00A10B67"/>
    <w:rsid w:val="00A125EF"/>
    <w:rsid w:val="00A144DD"/>
    <w:rsid w:val="00A2159A"/>
    <w:rsid w:val="00A223CE"/>
    <w:rsid w:val="00A22DDD"/>
    <w:rsid w:val="00A243C8"/>
    <w:rsid w:val="00A2574E"/>
    <w:rsid w:val="00A27A3F"/>
    <w:rsid w:val="00A27C28"/>
    <w:rsid w:val="00A30EE8"/>
    <w:rsid w:val="00A313D1"/>
    <w:rsid w:val="00A3146E"/>
    <w:rsid w:val="00A3196B"/>
    <w:rsid w:val="00A322FA"/>
    <w:rsid w:val="00A336ED"/>
    <w:rsid w:val="00A34272"/>
    <w:rsid w:val="00A424C9"/>
    <w:rsid w:val="00A43B04"/>
    <w:rsid w:val="00A43C26"/>
    <w:rsid w:val="00A447F1"/>
    <w:rsid w:val="00A44A64"/>
    <w:rsid w:val="00A46492"/>
    <w:rsid w:val="00A46A9E"/>
    <w:rsid w:val="00A47D6B"/>
    <w:rsid w:val="00A57095"/>
    <w:rsid w:val="00A6037E"/>
    <w:rsid w:val="00A64E90"/>
    <w:rsid w:val="00A6658D"/>
    <w:rsid w:val="00A70F0C"/>
    <w:rsid w:val="00A71135"/>
    <w:rsid w:val="00A74486"/>
    <w:rsid w:val="00A75A72"/>
    <w:rsid w:val="00A762D9"/>
    <w:rsid w:val="00A77283"/>
    <w:rsid w:val="00A77A35"/>
    <w:rsid w:val="00A80E1F"/>
    <w:rsid w:val="00A85803"/>
    <w:rsid w:val="00A8595B"/>
    <w:rsid w:val="00A90B6A"/>
    <w:rsid w:val="00A91095"/>
    <w:rsid w:val="00A9122C"/>
    <w:rsid w:val="00A9140B"/>
    <w:rsid w:val="00A9225A"/>
    <w:rsid w:val="00A956F6"/>
    <w:rsid w:val="00A95FE4"/>
    <w:rsid w:val="00A96004"/>
    <w:rsid w:val="00A978BB"/>
    <w:rsid w:val="00AA17B9"/>
    <w:rsid w:val="00AA4DB5"/>
    <w:rsid w:val="00AA6765"/>
    <w:rsid w:val="00AB16C2"/>
    <w:rsid w:val="00AB17AF"/>
    <w:rsid w:val="00AB4B34"/>
    <w:rsid w:val="00AB5417"/>
    <w:rsid w:val="00AB7BF7"/>
    <w:rsid w:val="00AB7DF8"/>
    <w:rsid w:val="00AC134A"/>
    <w:rsid w:val="00AC3DDB"/>
    <w:rsid w:val="00AC4130"/>
    <w:rsid w:val="00AC5DCB"/>
    <w:rsid w:val="00AC68DC"/>
    <w:rsid w:val="00AD34C6"/>
    <w:rsid w:val="00AD3C0E"/>
    <w:rsid w:val="00AD5E48"/>
    <w:rsid w:val="00AD7A98"/>
    <w:rsid w:val="00AE00AB"/>
    <w:rsid w:val="00AE3EB4"/>
    <w:rsid w:val="00AE5854"/>
    <w:rsid w:val="00AF0B90"/>
    <w:rsid w:val="00AF2A6B"/>
    <w:rsid w:val="00AF3827"/>
    <w:rsid w:val="00AF4BF4"/>
    <w:rsid w:val="00AF5DE7"/>
    <w:rsid w:val="00AF5FD7"/>
    <w:rsid w:val="00B026AA"/>
    <w:rsid w:val="00B031F1"/>
    <w:rsid w:val="00B03352"/>
    <w:rsid w:val="00B05500"/>
    <w:rsid w:val="00B13EEB"/>
    <w:rsid w:val="00B1605A"/>
    <w:rsid w:val="00B17E87"/>
    <w:rsid w:val="00B227DE"/>
    <w:rsid w:val="00B22D1D"/>
    <w:rsid w:val="00B2425D"/>
    <w:rsid w:val="00B242CD"/>
    <w:rsid w:val="00B249FE"/>
    <w:rsid w:val="00B2596E"/>
    <w:rsid w:val="00B2717D"/>
    <w:rsid w:val="00B27A85"/>
    <w:rsid w:val="00B30062"/>
    <w:rsid w:val="00B30ADA"/>
    <w:rsid w:val="00B314E3"/>
    <w:rsid w:val="00B3267B"/>
    <w:rsid w:val="00B33D67"/>
    <w:rsid w:val="00B3504E"/>
    <w:rsid w:val="00B350CD"/>
    <w:rsid w:val="00B36788"/>
    <w:rsid w:val="00B36925"/>
    <w:rsid w:val="00B41BEB"/>
    <w:rsid w:val="00B449DD"/>
    <w:rsid w:val="00B45A0B"/>
    <w:rsid w:val="00B46836"/>
    <w:rsid w:val="00B47F89"/>
    <w:rsid w:val="00B52FBB"/>
    <w:rsid w:val="00B601CF"/>
    <w:rsid w:val="00B60A1F"/>
    <w:rsid w:val="00B61E92"/>
    <w:rsid w:val="00B62A8E"/>
    <w:rsid w:val="00B62E70"/>
    <w:rsid w:val="00B65754"/>
    <w:rsid w:val="00B67181"/>
    <w:rsid w:val="00B72008"/>
    <w:rsid w:val="00B72DCD"/>
    <w:rsid w:val="00B73A5E"/>
    <w:rsid w:val="00B752BE"/>
    <w:rsid w:val="00B76766"/>
    <w:rsid w:val="00B80E8B"/>
    <w:rsid w:val="00B821E4"/>
    <w:rsid w:val="00B87775"/>
    <w:rsid w:val="00B9148F"/>
    <w:rsid w:val="00B93397"/>
    <w:rsid w:val="00B93CCB"/>
    <w:rsid w:val="00B944A3"/>
    <w:rsid w:val="00B94BEE"/>
    <w:rsid w:val="00B96744"/>
    <w:rsid w:val="00BA0F67"/>
    <w:rsid w:val="00BA1343"/>
    <w:rsid w:val="00BA1640"/>
    <w:rsid w:val="00BA3EDD"/>
    <w:rsid w:val="00BA417F"/>
    <w:rsid w:val="00BA4F29"/>
    <w:rsid w:val="00BA771D"/>
    <w:rsid w:val="00BB5AA9"/>
    <w:rsid w:val="00BC0906"/>
    <w:rsid w:val="00BC10C4"/>
    <w:rsid w:val="00BC2A84"/>
    <w:rsid w:val="00BC3236"/>
    <w:rsid w:val="00BC3342"/>
    <w:rsid w:val="00BD07A1"/>
    <w:rsid w:val="00BD3CAD"/>
    <w:rsid w:val="00BD60FA"/>
    <w:rsid w:val="00BE29A0"/>
    <w:rsid w:val="00BE2BB3"/>
    <w:rsid w:val="00BE4079"/>
    <w:rsid w:val="00BE7447"/>
    <w:rsid w:val="00BF1327"/>
    <w:rsid w:val="00BF137C"/>
    <w:rsid w:val="00BF3D15"/>
    <w:rsid w:val="00BF405D"/>
    <w:rsid w:val="00BF4507"/>
    <w:rsid w:val="00BF7157"/>
    <w:rsid w:val="00C00187"/>
    <w:rsid w:val="00C00427"/>
    <w:rsid w:val="00C01FAC"/>
    <w:rsid w:val="00C0466C"/>
    <w:rsid w:val="00C04727"/>
    <w:rsid w:val="00C06A36"/>
    <w:rsid w:val="00C11A5D"/>
    <w:rsid w:val="00C13466"/>
    <w:rsid w:val="00C1435F"/>
    <w:rsid w:val="00C2222E"/>
    <w:rsid w:val="00C31D24"/>
    <w:rsid w:val="00C339B9"/>
    <w:rsid w:val="00C34437"/>
    <w:rsid w:val="00C35E67"/>
    <w:rsid w:val="00C360EE"/>
    <w:rsid w:val="00C3665E"/>
    <w:rsid w:val="00C367F5"/>
    <w:rsid w:val="00C36AD4"/>
    <w:rsid w:val="00C40439"/>
    <w:rsid w:val="00C4330B"/>
    <w:rsid w:val="00C445F3"/>
    <w:rsid w:val="00C47DE6"/>
    <w:rsid w:val="00C502D2"/>
    <w:rsid w:val="00C522DD"/>
    <w:rsid w:val="00C56E5E"/>
    <w:rsid w:val="00C56F67"/>
    <w:rsid w:val="00C5757B"/>
    <w:rsid w:val="00C57629"/>
    <w:rsid w:val="00C60105"/>
    <w:rsid w:val="00C6080D"/>
    <w:rsid w:val="00C64A6A"/>
    <w:rsid w:val="00C66A80"/>
    <w:rsid w:val="00C7207E"/>
    <w:rsid w:val="00C729D1"/>
    <w:rsid w:val="00C73E17"/>
    <w:rsid w:val="00C75F40"/>
    <w:rsid w:val="00C80BE4"/>
    <w:rsid w:val="00C82DAC"/>
    <w:rsid w:val="00C834AA"/>
    <w:rsid w:val="00C8451F"/>
    <w:rsid w:val="00C857A2"/>
    <w:rsid w:val="00C858FD"/>
    <w:rsid w:val="00C91C32"/>
    <w:rsid w:val="00C94A4E"/>
    <w:rsid w:val="00C961FB"/>
    <w:rsid w:val="00C965BA"/>
    <w:rsid w:val="00CA2639"/>
    <w:rsid w:val="00CA30BE"/>
    <w:rsid w:val="00CA3F65"/>
    <w:rsid w:val="00CA428F"/>
    <w:rsid w:val="00CA77FF"/>
    <w:rsid w:val="00CB07AD"/>
    <w:rsid w:val="00CB0B52"/>
    <w:rsid w:val="00CB3EF6"/>
    <w:rsid w:val="00CB5ED1"/>
    <w:rsid w:val="00CB645A"/>
    <w:rsid w:val="00CC066B"/>
    <w:rsid w:val="00CC26B2"/>
    <w:rsid w:val="00CC3D5B"/>
    <w:rsid w:val="00CC45C7"/>
    <w:rsid w:val="00CC4994"/>
    <w:rsid w:val="00CC647F"/>
    <w:rsid w:val="00CD174C"/>
    <w:rsid w:val="00CD33FE"/>
    <w:rsid w:val="00CD42CD"/>
    <w:rsid w:val="00CD5CA4"/>
    <w:rsid w:val="00CD5F88"/>
    <w:rsid w:val="00CD6268"/>
    <w:rsid w:val="00CD6B9F"/>
    <w:rsid w:val="00CE2035"/>
    <w:rsid w:val="00CE213B"/>
    <w:rsid w:val="00CE23CD"/>
    <w:rsid w:val="00CE25C0"/>
    <w:rsid w:val="00CE3D0B"/>
    <w:rsid w:val="00CE60A4"/>
    <w:rsid w:val="00CE62ED"/>
    <w:rsid w:val="00CE7725"/>
    <w:rsid w:val="00CF0890"/>
    <w:rsid w:val="00CF0EEF"/>
    <w:rsid w:val="00CF141B"/>
    <w:rsid w:val="00CF2884"/>
    <w:rsid w:val="00CF51FC"/>
    <w:rsid w:val="00CF60F7"/>
    <w:rsid w:val="00D04F9D"/>
    <w:rsid w:val="00D1104C"/>
    <w:rsid w:val="00D112E8"/>
    <w:rsid w:val="00D13974"/>
    <w:rsid w:val="00D1398B"/>
    <w:rsid w:val="00D13EC9"/>
    <w:rsid w:val="00D15B64"/>
    <w:rsid w:val="00D23E1D"/>
    <w:rsid w:val="00D24DF5"/>
    <w:rsid w:val="00D25C0F"/>
    <w:rsid w:val="00D26158"/>
    <w:rsid w:val="00D309B7"/>
    <w:rsid w:val="00D31C3D"/>
    <w:rsid w:val="00D371A7"/>
    <w:rsid w:val="00D37D2E"/>
    <w:rsid w:val="00D40A43"/>
    <w:rsid w:val="00D41B36"/>
    <w:rsid w:val="00D41B9B"/>
    <w:rsid w:val="00D44C7D"/>
    <w:rsid w:val="00D44CD8"/>
    <w:rsid w:val="00D47934"/>
    <w:rsid w:val="00D53745"/>
    <w:rsid w:val="00D55298"/>
    <w:rsid w:val="00D55B42"/>
    <w:rsid w:val="00D55B86"/>
    <w:rsid w:val="00D57583"/>
    <w:rsid w:val="00D6181F"/>
    <w:rsid w:val="00D6199C"/>
    <w:rsid w:val="00D64C22"/>
    <w:rsid w:val="00D65351"/>
    <w:rsid w:val="00D6613C"/>
    <w:rsid w:val="00D6783B"/>
    <w:rsid w:val="00D728CF"/>
    <w:rsid w:val="00D72A9B"/>
    <w:rsid w:val="00D756C2"/>
    <w:rsid w:val="00D76840"/>
    <w:rsid w:val="00D76FD9"/>
    <w:rsid w:val="00D774A3"/>
    <w:rsid w:val="00D77A90"/>
    <w:rsid w:val="00D81AD2"/>
    <w:rsid w:val="00D81C6B"/>
    <w:rsid w:val="00D834E7"/>
    <w:rsid w:val="00D83C9B"/>
    <w:rsid w:val="00D857F6"/>
    <w:rsid w:val="00D860F5"/>
    <w:rsid w:val="00D86844"/>
    <w:rsid w:val="00D900AD"/>
    <w:rsid w:val="00D94062"/>
    <w:rsid w:val="00D96072"/>
    <w:rsid w:val="00DA36C8"/>
    <w:rsid w:val="00DA56EB"/>
    <w:rsid w:val="00DA6921"/>
    <w:rsid w:val="00DA7089"/>
    <w:rsid w:val="00DB2411"/>
    <w:rsid w:val="00DB3196"/>
    <w:rsid w:val="00DB670A"/>
    <w:rsid w:val="00DB6FA9"/>
    <w:rsid w:val="00DC348C"/>
    <w:rsid w:val="00DC45C7"/>
    <w:rsid w:val="00DC76E9"/>
    <w:rsid w:val="00DC7899"/>
    <w:rsid w:val="00DD131F"/>
    <w:rsid w:val="00DD17BD"/>
    <w:rsid w:val="00DD71D6"/>
    <w:rsid w:val="00DE0951"/>
    <w:rsid w:val="00DE526D"/>
    <w:rsid w:val="00DE6B26"/>
    <w:rsid w:val="00DE7885"/>
    <w:rsid w:val="00DF1798"/>
    <w:rsid w:val="00DF28EC"/>
    <w:rsid w:val="00DF37F2"/>
    <w:rsid w:val="00DF52B4"/>
    <w:rsid w:val="00DF5BE7"/>
    <w:rsid w:val="00E01D6B"/>
    <w:rsid w:val="00E04BC1"/>
    <w:rsid w:val="00E050BC"/>
    <w:rsid w:val="00E12770"/>
    <w:rsid w:val="00E1358B"/>
    <w:rsid w:val="00E13B71"/>
    <w:rsid w:val="00E146F5"/>
    <w:rsid w:val="00E1526C"/>
    <w:rsid w:val="00E1676E"/>
    <w:rsid w:val="00E22707"/>
    <w:rsid w:val="00E22E17"/>
    <w:rsid w:val="00E247AF"/>
    <w:rsid w:val="00E24E07"/>
    <w:rsid w:val="00E25A3E"/>
    <w:rsid w:val="00E26AEE"/>
    <w:rsid w:val="00E26F8B"/>
    <w:rsid w:val="00E274F7"/>
    <w:rsid w:val="00E30D2B"/>
    <w:rsid w:val="00E330C9"/>
    <w:rsid w:val="00E3630D"/>
    <w:rsid w:val="00E3632C"/>
    <w:rsid w:val="00E40CC4"/>
    <w:rsid w:val="00E43D73"/>
    <w:rsid w:val="00E44548"/>
    <w:rsid w:val="00E4490B"/>
    <w:rsid w:val="00E44DBE"/>
    <w:rsid w:val="00E46D51"/>
    <w:rsid w:val="00E46D89"/>
    <w:rsid w:val="00E4747F"/>
    <w:rsid w:val="00E50E04"/>
    <w:rsid w:val="00E5184A"/>
    <w:rsid w:val="00E51934"/>
    <w:rsid w:val="00E53533"/>
    <w:rsid w:val="00E53FFA"/>
    <w:rsid w:val="00E552AF"/>
    <w:rsid w:val="00E55DA4"/>
    <w:rsid w:val="00E571E9"/>
    <w:rsid w:val="00E60B41"/>
    <w:rsid w:val="00E64B93"/>
    <w:rsid w:val="00E70C52"/>
    <w:rsid w:val="00E71A76"/>
    <w:rsid w:val="00E73FEE"/>
    <w:rsid w:val="00E754C1"/>
    <w:rsid w:val="00E80928"/>
    <w:rsid w:val="00E82A8F"/>
    <w:rsid w:val="00E83AFA"/>
    <w:rsid w:val="00E86D4F"/>
    <w:rsid w:val="00E87FB6"/>
    <w:rsid w:val="00E919BF"/>
    <w:rsid w:val="00E95852"/>
    <w:rsid w:val="00EA09AA"/>
    <w:rsid w:val="00EA1C9A"/>
    <w:rsid w:val="00EA2476"/>
    <w:rsid w:val="00EA29A1"/>
    <w:rsid w:val="00EA7596"/>
    <w:rsid w:val="00EB044A"/>
    <w:rsid w:val="00EB2255"/>
    <w:rsid w:val="00EB396A"/>
    <w:rsid w:val="00EB3BCB"/>
    <w:rsid w:val="00EB3DC8"/>
    <w:rsid w:val="00EB50E6"/>
    <w:rsid w:val="00EB55D2"/>
    <w:rsid w:val="00EB7869"/>
    <w:rsid w:val="00EB7E8B"/>
    <w:rsid w:val="00EC0BDB"/>
    <w:rsid w:val="00EC217C"/>
    <w:rsid w:val="00EC5FF0"/>
    <w:rsid w:val="00EC6AF3"/>
    <w:rsid w:val="00ED0621"/>
    <w:rsid w:val="00ED3191"/>
    <w:rsid w:val="00ED3829"/>
    <w:rsid w:val="00ED5A50"/>
    <w:rsid w:val="00EE3D45"/>
    <w:rsid w:val="00EE40E8"/>
    <w:rsid w:val="00EE47F2"/>
    <w:rsid w:val="00EE4A84"/>
    <w:rsid w:val="00EE5C7E"/>
    <w:rsid w:val="00EE76A0"/>
    <w:rsid w:val="00EF2074"/>
    <w:rsid w:val="00EF344F"/>
    <w:rsid w:val="00EF5C71"/>
    <w:rsid w:val="00EF5F37"/>
    <w:rsid w:val="00EF6597"/>
    <w:rsid w:val="00EF7B3B"/>
    <w:rsid w:val="00EF7BD0"/>
    <w:rsid w:val="00F0027A"/>
    <w:rsid w:val="00F00468"/>
    <w:rsid w:val="00F03C54"/>
    <w:rsid w:val="00F05E90"/>
    <w:rsid w:val="00F06EEA"/>
    <w:rsid w:val="00F10D1E"/>
    <w:rsid w:val="00F10E5F"/>
    <w:rsid w:val="00F13971"/>
    <w:rsid w:val="00F13E36"/>
    <w:rsid w:val="00F14A12"/>
    <w:rsid w:val="00F17E8B"/>
    <w:rsid w:val="00F20A5C"/>
    <w:rsid w:val="00F22801"/>
    <w:rsid w:val="00F24288"/>
    <w:rsid w:val="00F26809"/>
    <w:rsid w:val="00F27F57"/>
    <w:rsid w:val="00F30990"/>
    <w:rsid w:val="00F3181C"/>
    <w:rsid w:val="00F32B94"/>
    <w:rsid w:val="00F337C6"/>
    <w:rsid w:val="00F4455B"/>
    <w:rsid w:val="00F44FB3"/>
    <w:rsid w:val="00F45A90"/>
    <w:rsid w:val="00F46ACA"/>
    <w:rsid w:val="00F54E34"/>
    <w:rsid w:val="00F55A42"/>
    <w:rsid w:val="00F607C9"/>
    <w:rsid w:val="00F61248"/>
    <w:rsid w:val="00F612F0"/>
    <w:rsid w:val="00F6137F"/>
    <w:rsid w:val="00F614F0"/>
    <w:rsid w:val="00F615A9"/>
    <w:rsid w:val="00F626BE"/>
    <w:rsid w:val="00F660B7"/>
    <w:rsid w:val="00F70E67"/>
    <w:rsid w:val="00F72C6A"/>
    <w:rsid w:val="00F72FC4"/>
    <w:rsid w:val="00F73108"/>
    <w:rsid w:val="00F732B3"/>
    <w:rsid w:val="00F76268"/>
    <w:rsid w:val="00F80333"/>
    <w:rsid w:val="00F82816"/>
    <w:rsid w:val="00F84D2D"/>
    <w:rsid w:val="00F9124D"/>
    <w:rsid w:val="00F936ED"/>
    <w:rsid w:val="00F96F44"/>
    <w:rsid w:val="00FA12A4"/>
    <w:rsid w:val="00FA1DAC"/>
    <w:rsid w:val="00FA36B6"/>
    <w:rsid w:val="00FB1A6A"/>
    <w:rsid w:val="00FB266F"/>
    <w:rsid w:val="00FB2E79"/>
    <w:rsid w:val="00FB304C"/>
    <w:rsid w:val="00FB7794"/>
    <w:rsid w:val="00FC07EC"/>
    <w:rsid w:val="00FC0D6B"/>
    <w:rsid w:val="00FC5FB7"/>
    <w:rsid w:val="00FC6020"/>
    <w:rsid w:val="00FC79F4"/>
    <w:rsid w:val="00FD057D"/>
    <w:rsid w:val="00FD143D"/>
    <w:rsid w:val="00FD16B2"/>
    <w:rsid w:val="00FD2C3A"/>
    <w:rsid w:val="00FD2D21"/>
    <w:rsid w:val="00FD378C"/>
    <w:rsid w:val="00FD54F9"/>
    <w:rsid w:val="00FE0B77"/>
    <w:rsid w:val="00FE0E17"/>
    <w:rsid w:val="00FE0FBA"/>
    <w:rsid w:val="00FE25A9"/>
    <w:rsid w:val="00FE3E01"/>
    <w:rsid w:val="00FE4A4A"/>
    <w:rsid w:val="00FE50CE"/>
    <w:rsid w:val="00FF2866"/>
    <w:rsid w:val="00FF436E"/>
    <w:rsid w:val="00FF4E07"/>
    <w:rsid w:val="00FF627F"/>
    <w:rsid w:val="00FF6BC3"/>
    <w:rsid w:val="00FF77FE"/>
    <w:rsid w:val="00FF7AE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9224C"/>
  <w15:chartTrackingRefBased/>
  <w15:docId w15:val="{9C653EED-7B12-4F76-8E6C-1E9AC7C33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797"/>
    <w:pPr>
      <w:jc w:val="both"/>
    </w:pPr>
    <w:rPr>
      <w:sz w:val="20"/>
    </w:rPr>
  </w:style>
  <w:style w:type="paragraph" w:styleId="Heading1">
    <w:name w:val="heading 1"/>
    <w:basedOn w:val="Normal"/>
    <w:next w:val="Normal"/>
    <w:link w:val="Heading1Char"/>
    <w:uiPriority w:val="9"/>
    <w:qFormat/>
    <w:rsid w:val="00832B09"/>
    <w:pPr>
      <w:keepNext/>
      <w:keepLines/>
      <w:spacing w:before="360" w:after="120"/>
      <w:jc w:val="left"/>
      <w:outlineLvl w:val="0"/>
    </w:pPr>
    <w:rPr>
      <w:rFonts w:asciiTheme="majorHAnsi" w:eastAsiaTheme="majorEastAsia" w:hAnsiTheme="majorHAnsi" w:cstheme="majorBidi"/>
      <w:b/>
      <w:caps/>
      <w:color w:val="444444" w:themeColor="text1" w:themeTint="E6"/>
      <w:sz w:val="32"/>
      <w:szCs w:val="32"/>
    </w:rPr>
  </w:style>
  <w:style w:type="paragraph" w:styleId="Heading2">
    <w:name w:val="heading 2"/>
    <w:basedOn w:val="Normal"/>
    <w:next w:val="Normal"/>
    <w:link w:val="Heading2Char"/>
    <w:uiPriority w:val="9"/>
    <w:unhideWhenUsed/>
    <w:qFormat/>
    <w:rsid w:val="00B62E70"/>
    <w:pPr>
      <w:keepNext/>
      <w:keepLines/>
      <w:spacing w:before="280" w:after="240"/>
      <w:outlineLvl w:val="1"/>
    </w:pPr>
    <w:rPr>
      <w:rFonts w:asciiTheme="majorHAnsi" w:eastAsiaTheme="majorEastAsia" w:hAnsiTheme="majorHAnsi" w:cstheme="majorBidi"/>
      <w:b/>
      <w:color w:val="20A5E8" w:themeColor="accent1"/>
      <w:sz w:val="24"/>
      <w:szCs w:val="26"/>
    </w:rPr>
  </w:style>
  <w:style w:type="paragraph" w:styleId="Heading3">
    <w:name w:val="heading 3"/>
    <w:basedOn w:val="Normal"/>
    <w:next w:val="Normal"/>
    <w:link w:val="Heading3Char"/>
    <w:unhideWhenUsed/>
    <w:qFormat/>
    <w:rsid w:val="00C60105"/>
    <w:pPr>
      <w:keepNext/>
      <w:keepLines/>
      <w:spacing w:before="160" w:after="120"/>
      <w:outlineLvl w:val="2"/>
    </w:pPr>
    <w:rPr>
      <w:rFonts w:ascii="Segoe UI" w:eastAsiaTheme="majorEastAsia" w:hAnsi="Segoe UI" w:cstheme="majorBidi"/>
      <w:b/>
      <w:i/>
      <w:color w:val="808080" w:themeColor="background1" w:themeShade="80"/>
      <w:sz w:val="22"/>
      <w:szCs w:val="24"/>
    </w:rPr>
  </w:style>
  <w:style w:type="paragraph" w:styleId="Heading4">
    <w:name w:val="heading 4"/>
    <w:basedOn w:val="Normal"/>
    <w:next w:val="Normal"/>
    <w:link w:val="Heading4Char"/>
    <w:unhideWhenUsed/>
    <w:rsid w:val="00193696"/>
    <w:pPr>
      <w:keepNext/>
      <w:keepLines/>
      <w:spacing w:before="160" w:after="120"/>
      <w:outlineLvl w:val="3"/>
    </w:pPr>
    <w:rPr>
      <w:rFonts w:asciiTheme="majorHAnsi" w:eastAsiaTheme="majorEastAsia" w:hAnsiTheme="majorHAnsi" w:cstheme="majorBidi"/>
      <w:i/>
      <w:iCs/>
      <w:color w:val="20A5E8" w:themeColor="accent1"/>
    </w:rPr>
  </w:style>
  <w:style w:type="paragraph" w:styleId="Heading5">
    <w:name w:val="heading 5"/>
    <w:basedOn w:val="Normal"/>
    <w:next w:val="Normal"/>
    <w:link w:val="Heading5Char"/>
    <w:unhideWhenUsed/>
    <w:rsid w:val="002C03C4"/>
    <w:pPr>
      <w:keepNext/>
      <w:keepLines/>
      <w:spacing w:before="40" w:after="0"/>
      <w:outlineLvl w:val="4"/>
    </w:pPr>
    <w:rPr>
      <w:rFonts w:asciiTheme="majorHAnsi" w:eastAsiaTheme="majorEastAsia" w:hAnsiTheme="majorHAnsi" w:cstheme="majorBidi"/>
      <w:color w:val="127CB3" w:themeColor="accent1" w:themeShade="BF"/>
    </w:rPr>
  </w:style>
  <w:style w:type="paragraph" w:styleId="Heading6">
    <w:name w:val="heading 6"/>
    <w:basedOn w:val="Normal"/>
    <w:next w:val="Normal"/>
    <w:link w:val="Heading6Char"/>
    <w:rsid w:val="005576D3"/>
    <w:pPr>
      <w:spacing w:after="0" w:line="240" w:lineRule="auto"/>
      <w:jc w:val="center"/>
      <w:outlineLvl w:val="5"/>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7628D"/>
    <w:pPr>
      <w:ind w:left="720"/>
      <w:contextualSpacing/>
    </w:pPr>
  </w:style>
  <w:style w:type="paragraph" w:styleId="FootnoteText">
    <w:name w:val="footnote text"/>
    <w:basedOn w:val="Normal"/>
    <w:link w:val="FootnoteTextChar"/>
    <w:unhideWhenUsed/>
    <w:rsid w:val="00D86844"/>
    <w:pPr>
      <w:spacing w:after="0" w:line="240" w:lineRule="auto"/>
    </w:pPr>
    <w:rPr>
      <w:szCs w:val="20"/>
    </w:rPr>
  </w:style>
  <w:style w:type="character" w:customStyle="1" w:styleId="FootnoteTextChar">
    <w:name w:val="Footnote Text Char"/>
    <w:basedOn w:val="DefaultParagraphFont"/>
    <w:link w:val="FootnoteText"/>
    <w:rsid w:val="00D86844"/>
    <w:rPr>
      <w:sz w:val="20"/>
      <w:szCs w:val="20"/>
    </w:rPr>
  </w:style>
  <w:style w:type="character" w:styleId="FootnoteReference">
    <w:name w:val="footnote reference"/>
    <w:basedOn w:val="DefaultParagraphFont"/>
    <w:unhideWhenUsed/>
    <w:rsid w:val="00D86844"/>
    <w:rPr>
      <w:vertAlign w:val="superscript"/>
    </w:rPr>
  </w:style>
  <w:style w:type="table" w:styleId="TableGrid">
    <w:name w:val="Table Grid"/>
    <w:basedOn w:val="TableNormal"/>
    <w:uiPriority w:val="39"/>
    <w:rsid w:val="00B350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
    <w:name w:val="Grid Table 5 Dark"/>
    <w:basedOn w:val="TableNormal"/>
    <w:uiPriority w:val="50"/>
    <w:rsid w:val="00B350C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D5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0303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0303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0303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03030" w:themeFill="text1"/>
      </w:tcPr>
    </w:tblStylePr>
    <w:tblStylePr w:type="band1Vert">
      <w:tblPr/>
      <w:tcPr>
        <w:shd w:val="clear" w:color="auto" w:fill="ACACAC" w:themeFill="text1" w:themeFillTint="66"/>
      </w:tcPr>
    </w:tblStylePr>
    <w:tblStylePr w:type="band1Horz">
      <w:tblPr/>
      <w:tcPr>
        <w:shd w:val="clear" w:color="auto" w:fill="ACACAC" w:themeFill="text1" w:themeFillTint="66"/>
      </w:tcPr>
    </w:tblStylePr>
  </w:style>
  <w:style w:type="table" w:styleId="GridTable5Dark-Accent5">
    <w:name w:val="Grid Table 5 Dark Accent 5"/>
    <w:basedOn w:val="TableNormal"/>
    <w:uiPriority w:val="50"/>
    <w:rsid w:val="00B350C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5"/>
      </w:tcPr>
    </w:tblStylePr>
    <w:tblStylePr w:type="band1Vert">
      <w:tblPr/>
      <w:tcPr>
        <w:shd w:val="clear" w:color="auto" w:fill="FFFF99" w:themeFill="accent5" w:themeFillTint="66"/>
      </w:tcPr>
    </w:tblStylePr>
    <w:tblStylePr w:type="band1Horz">
      <w:tblPr/>
      <w:tcPr>
        <w:shd w:val="clear" w:color="auto" w:fill="FFFF99" w:themeFill="accent5" w:themeFillTint="66"/>
      </w:tcPr>
    </w:tblStylePr>
  </w:style>
  <w:style w:type="paragraph" w:styleId="Caption">
    <w:name w:val="caption"/>
    <w:basedOn w:val="Normal"/>
    <w:next w:val="Normal"/>
    <w:uiPriority w:val="35"/>
    <w:unhideWhenUsed/>
    <w:rsid w:val="003D178C"/>
    <w:pPr>
      <w:spacing w:after="200" w:line="240" w:lineRule="auto"/>
    </w:pPr>
    <w:rPr>
      <w:i/>
      <w:iCs/>
      <w:color w:val="000000" w:themeColor="text2"/>
      <w:sz w:val="18"/>
      <w:szCs w:val="18"/>
    </w:rPr>
  </w:style>
  <w:style w:type="paragraph" w:styleId="Header">
    <w:name w:val="header"/>
    <w:basedOn w:val="Normal"/>
    <w:link w:val="HeaderChar"/>
    <w:uiPriority w:val="99"/>
    <w:unhideWhenUsed/>
    <w:rsid w:val="00340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FA8"/>
  </w:style>
  <w:style w:type="paragraph" w:styleId="Footer">
    <w:name w:val="footer"/>
    <w:basedOn w:val="Normal"/>
    <w:link w:val="FooterChar"/>
    <w:uiPriority w:val="99"/>
    <w:unhideWhenUsed/>
    <w:rsid w:val="00340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FA8"/>
  </w:style>
  <w:style w:type="paragraph" w:styleId="NormalWeb">
    <w:name w:val="Normal (Web)"/>
    <w:basedOn w:val="Normal"/>
    <w:uiPriority w:val="99"/>
    <w:unhideWhenUsed/>
    <w:rsid w:val="00C522DD"/>
    <w:pPr>
      <w:spacing w:before="100" w:beforeAutospacing="1" w:after="100" w:afterAutospacing="1" w:line="240" w:lineRule="auto"/>
    </w:pPr>
    <w:rPr>
      <w:rFonts w:ascii="Times New Roman" w:eastAsiaTheme="minorEastAsia" w:hAnsi="Times New Roman" w:cs="Times New Roman"/>
      <w:sz w:val="24"/>
      <w:szCs w:val="24"/>
    </w:rPr>
  </w:style>
  <w:style w:type="paragraph" w:styleId="NoSpacing">
    <w:name w:val="No Spacing"/>
    <w:uiPriority w:val="1"/>
    <w:rsid w:val="0094559B"/>
    <w:pPr>
      <w:spacing w:after="0" w:line="240" w:lineRule="auto"/>
    </w:pPr>
  </w:style>
  <w:style w:type="table" w:styleId="GridTable4-Accent1">
    <w:name w:val="Grid Table 4 Accent 1"/>
    <w:basedOn w:val="TableNormal"/>
    <w:uiPriority w:val="49"/>
    <w:rsid w:val="00E40CC4"/>
    <w:pPr>
      <w:spacing w:after="0" w:line="240" w:lineRule="auto"/>
    </w:pPr>
    <w:tblPr>
      <w:tblStyleRowBandSize w:val="1"/>
      <w:tblStyleColBandSize w:val="1"/>
      <w:tblBorders>
        <w:top w:val="single" w:sz="4" w:space="0" w:color="79C8F1" w:themeColor="accent1" w:themeTint="99"/>
        <w:left w:val="single" w:sz="4" w:space="0" w:color="79C8F1" w:themeColor="accent1" w:themeTint="99"/>
        <w:bottom w:val="single" w:sz="4" w:space="0" w:color="79C8F1" w:themeColor="accent1" w:themeTint="99"/>
        <w:right w:val="single" w:sz="4" w:space="0" w:color="79C8F1" w:themeColor="accent1" w:themeTint="99"/>
        <w:insideH w:val="single" w:sz="4" w:space="0" w:color="79C8F1" w:themeColor="accent1" w:themeTint="99"/>
        <w:insideV w:val="single" w:sz="4" w:space="0" w:color="79C8F1" w:themeColor="accent1" w:themeTint="99"/>
      </w:tblBorders>
    </w:tblPr>
    <w:tblStylePr w:type="firstRow">
      <w:rPr>
        <w:b/>
        <w:bCs/>
        <w:color w:val="FFFFFF" w:themeColor="background1"/>
      </w:rPr>
      <w:tblPr/>
      <w:tcPr>
        <w:tcBorders>
          <w:top w:val="single" w:sz="4" w:space="0" w:color="20A5E8" w:themeColor="accent1"/>
          <w:left w:val="single" w:sz="4" w:space="0" w:color="20A5E8" w:themeColor="accent1"/>
          <w:bottom w:val="single" w:sz="4" w:space="0" w:color="20A5E8" w:themeColor="accent1"/>
          <w:right w:val="single" w:sz="4" w:space="0" w:color="20A5E8" w:themeColor="accent1"/>
          <w:insideH w:val="nil"/>
          <w:insideV w:val="nil"/>
        </w:tcBorders>
        <w:shd w:val="clear" w:color="auto" w:fill="20A5E8" w:themeFill="accent1"/>
      </w:tcPr>
    </w:tblStylePr>
    <w:tblStylePr w:type="lastRow">
      <w:rPr>
        <w:b/>
        <w:bCs/>
      </w:rPr>
      <w:tblPr/>
      <w:tcPr>
        <w:tcBorders>
          <w:top w:val="double" w:sz="4" w:space="0" w:color="20A5E8" w:themeColor="accent1"/>
        </w:tcBorders>
      </w:tcPr>
    </w:tblStylePr>
    <w:tblStylePr w:type="firstCol">
      <w:rPr>
        <w:b/>
        <w:bCs/>
      </w:rPr>
    </w:tblStylePr>
    <w:tblStylePr w:type="lastCol">
      <w:rPr>
        <w:b/>
        <w:bCs/>
      </w:rPr>
    </w:tblStylePr>
    <w:tblStylePr w:type="band1Vert">
      <w:tblPr/>
      <w:tcPr>
        <w:shd w:val="clear" w:color="auto" w:fill="D2ECFA" w:themeFill="accent1" w:themeFillTint="33"/>
      </w:tcPr>
    </w:tblStylePr>
    <w:tblStylePr w:type="band1Horz">
      <w:tblPr/>
      <w:tcPr>
        <w:shd w:val="clear" w:color="auto" w:fill="D2ECFA" w:themeFill="accent1" w:themeFillTint="33"/>
      </w:tcPr>
    </w:tblStylePr>
  </w:style>
  <w:style w:type="paragraph" w:styleId="BalloonText">
    <w:name w:val="Balloon Text"/>
    <w:basedOn w:val="Normal"/>
    <w:link w:val="BalloonTextChar"/>
    <w:unhideWhenUsed/>
    <w:rsid w:val="00973C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973C75"/>
    <w:rPr>
      <w:rFonts w:ascii="Segoe UI" w:hAnsi="Segoe UI" w:cs="Segoe UI"/>
      <w:sz w:val="18"/>
      <w:szCs w:val="18"/>
    </w:rPr>
  </w:style>
  <w:style w:type="character" w:styleId="CommentReference">
    <w:name w:val="annotation reference"/>
    <w:basedOn w:val="DefaultParagraphFont"/>
    <w:uiPriority w:val="99"/>
    <w:semiHidden/>
    <w:unhideWhenUsed/>
    <w:rsid w:val="005C19A9"/>
    <w:rPr>
      <w:sz w:val="16"/>
      <w:szCs w:val="16"/>
    </w:rPr>
  </w:style>
  <w:style w:type="paragraph" w:styleId="CommentText">
    <w:name w:val="annotation text"/>
    <w:basedOn w:val="Normal"/>
    <w:link w:val="CommentTextChar"/>
    <w:uiPriority w:val="99"/>
    <w:unhideWhenUsed/>
    <w:rsid w:val="005C19A9"/>
    <w:pPr>
      <w:spacing w:line="240" w:lineRule="auto"/>
    </w:pPr>
    <w:rPr>
      <w:szCs w:val="20"/>
    </w:rPr>
  </w:style>
  <w:style w:type="character" w:customStyle="1" w:styleId="CommentTextChar">
    <w:name w:val="Comment Text Char"/>
    <w:basedOn w:val="DefaultParagraphFont"/>
    <w:link w:val="CommentText"/>
    <w:uiPriority w:val="99"/>
    <w:rsid w:val="005C19A9"/>
    <w:rPr>
      <w:sz w:val="20"/>
      <w:szCs w:val="20"/>
    </w:rPr>
  </w:style>
  <w:style w:type="paragraph" w:styleId="CommentSubject">
    <w:name w:val="annotation subject"/>
    <w:basedOn w:val="CommentText"/>
    <w:next w:val="CommentText"/>
    <w:link w:val="CommentSubjectChar"/>
    <w:uiPriority w:val="99"/>
    <w:semiHidden/>
    <w:unhideWhenUsed/>
    <w:rsid w:val="005C19A9"/>
    <w:rPr>
      <w:b/>
      <w:bCs/>
    </w:rPr>
  </w:style>
  <w:style w:type="character" w:customStyle="1" w:styleId="CommentSubjectChar">
    <w:name w:val="Comment Subject Char"/>
    <w:basedOn w:val="CommentTextChar"/>
    <w:link w:val="CommentSubject"/>
    <w:uiPriority w:val="99"/>
    <w:semiHidden/>
    <w:rsid w:val="005C19A9"/>
    <w:rPr>
      <w:b/>
      <w:bCs/>
      <w:sz w:val="20"/>
      <w:szCs w:val="20"/>
    </w:rPr>
  </w:style>
  <w:style w:type="character" w:styleId="Hyperlink">
    <w:name w:val="Hyperlink"/>
    <w:basedOn w:val="DefaultParagraphFont"/>
    <w:uiPriority w:val="99"/>
    <w:unhideWhenUsed/>
    <w:rsid w:val="00283528"/>
    <w:rPr>
      <w:color w:val="0000FF"/>
      <w:u w:val="single"/>
    </w:rPr>
  </w:style>
  <w:style w:type="character" w:customStyle="1" w:styleId="UnresolvedMention1">
    <w:name w:val="Unresolved Mention1"/>
    <w:basedOn w:val="DefaultParagraphFont"/>
    <w:uiPriority w:val="99"/>
    <w:semiHidden/>
    <w:unhideWhenUsed/>
    <w:rsid w:val="00283528"/>
    <w:rPr>
      <w:color w:val="808080"/>
      <w:shd w:val="clear" w:color="auto" w:fill="E6E6E6"/>
    </w:rPr>
  </w:style>
  <w:style w:type="character" w:customStyle="1" w:styleId="Heading1Char">
    <w:name w:val="Heading 1 Char"/>
    <w:basedOn w:val="DefaultParagraphFont"/>
    <w:link w:val="Heading1"/>
    <w:uiPriority w:val="9"/>
    <w:rsid w:val="00832B09"/>
    <w:rPr>
      <w:rFonts w:asciiTheme="majorHAnsi" w:eastAsiaTheme="majorEastAsia" w:hAnsiTheme="majorHAnsi" w:cstheme="majorBidi"/>
      <w:b/>
      <w:caps/>
      <w:color w:val="444444" w:themeColor="text1" w:themeTint="E6"/>
      <w:sz w:val="32"/>
      <w:szCs w:val="32"/>
    </w:rPr>
  </w:style>
  <w:style w:type="character" w:customStyle="1" w:styleId="Heading2Char">
    <w:name w:val="Heading 2 Char"/>
    <w:basedOn w:val="DefaultParagraphFont"/>
    <w:link w:val="Heading2"/>
    <w:uiPriority w:val="9"/>
    <w:rsid w:val="00B62E70"/>
    <w:rPr>
      <w:rFonts w:asciiTheme="majorHAnsi" w:eastAsiaTheme="majorEastAsia" w:hAnsiTheme="majorHAnsi" w:cstheme="majorBidi"/>
      <w:b/>
      <w:color w:val="20A5E8" w:themeColor="accent1"/>
      <w:sz w:val="24"/>
      <w:szCs w:val="26"/>
    </w:rPr>
  </w:style>
  <w:style w:type="character" w:customStyle="1" w:styleId="Heading3Char">
    <w:name w:val="Heading 3 Char"/>
    <w:basedOn w:val="DefaultParagraphFont"/>
    <w:link w:val="Heading3"/>
    <w:rsid w:val="00C60105"/>
    <w:rPr>
      <w:rFonts w:ascii="Segoe UI" w:eastAsiaTheme="majorEastAsia" w:hAnsi="Segoe UI" w:cstheme="majorBidi"/>
      <w:b/>
      <w:i/>
      <w:color w:val="808080" w:themeColor="background1" w:themeShade="80"/>
      <w:szCs w:val="24"/>
    </w:rPr>
  </w:style>
  <w:style w:type="character" w:customStyle="1" w:styleId="Heading4Char">
    <w:name w:val="Heading 4 Char"/>
    <w:basedOn w:val="DefaultParagraphFont"/>
    <w:link w:val="Heading4"/>
    <w:rsid w:val="00193696"/>
    <w:rPr>
      <w:rFonts w:asciiTheme="majorHAnsi" w:eastAsiaTheme="majorEastAsia" w:hAnsiTheme="majorHAnsi" w:cstheme="majorBidi"/>
      <w:i/>
      <w:iCs/>
      <w:color w:val="20A5E8" w:themeColor="accent1"/>
      <w:sz w:val="20"/>
    </w:rPr>
  </w:style>
  <w:style w:type="character" w:styleId="Emphasis">
    <w:name w:val="Emphasis"/>
    <w:basedOn w:val="DefaultParagraphFont"/>
    <w:uiPriority w:val="20"/>
    <w:rsid w:val="00A43C26"/>
    <w:rPr>
      <w:i/>
      <w:iCs/>
    </w:rPr>
  </w:style>
  <w:style w:type="character" w:customStyle="1" w:styleId="Heading5Char">
    <w:name w:val="Heading 5 Char"/>
    <w:basedOn w:val="DefaultParagraphFont"/>
    <w:link w:val="Heading5"/>
    <w:rsid w:val="002C03C4"/>
    <w:rPr>
      <w:rFonts w:asciiTheme="majorHAnsi" w:eastAsiaTheme="majorEastAsia" w:hAnsiTheme="majorHAnsi" w:cstheme="majorBidi"/>
      <w:color w:val="127CB3" w:themeColor="accent1" w:themeShade="BF"/>
    </w:rPr>
  </w:style>
  <w:style w:type="paragraph" w:styleId="TOCHeading">
    <w:name w:val="TOC Heading"/>
    <w:basedOn w:val="Heading1"/>
    <w:next w:val="Normal"/>
    <w:uiPriority w:val="39"/>
    <w:unhideWhenUsed/>
    <w:rsid w:val="00FF627F"/>
    <w:pPr>
      <w:spacing w:before="240" w:after="0"/>
      <w:outlineLvl w:val="9"/>
    </w:pPr>
    <w:rPr>
      <w:b w:val="0"/>
      <w:caps w:val="0"/>
      <w:color w:val="127CB3" w:themeColor="accent1" w:themeShade="BF"/>
    </w:rPr>
  </w:style>
  <w:style w:type="paragraph" w:styleId="TOC1">
    <w:name w:val="toc 1"/>
    <w:basedOn w:val="Normal"/>
    <w:next w:val="Normal"/>
    <w:autoRedefine/>
    <w:uiPriority w:val="39"/>
    <w:unhideWhenUsed/>
    <w:rsid w:val="00FF627F"/>
    <w:pPr>
      <w:spacing w:after="100"/>
    </w:pPr>
  </w:style>
  <w:style w:type="paragraph" w:styleId="TOC2">
    <w:name w:val="toc 2"/>
    <w:basedOn w:val="Normal"/>
    <w:next w:val="Normal"/>
    <w:autoRedefine/>
    <w:uiPriority w:val="39"/>
    <w:unhideWhenUsed/>
    <w:rsid w:val="00FF627F"/>
    <w:pPr>
      <w:spacing w:after="100"/>
      <w:ind w:left="220"/>
    </w:pPr>
  </w:style>
  <w:style w:type="paragraph" w:styleId="TOC3">
    <w:name w:val="toc 3"/>
    <w:basedOn w:val="Normal"/>
    <w:next w:val="Normal"/>
    <w:autoRedefine/>
    <w:uiPriority w:val="39"/>
    <w:unhideWhenUsed/>
    <w:rsid w:val="00FF627F"/>
    <w:pPr>
      <w:spacing w:after="100"/>
      <w:ind w:left="440"/>
    </w:pPr>
  </w:style>
  <w:style w:type="character" w:customStyle="1" w:styleId="SYSHYPERTEXT">
    <w:name w:val="SYS_HYPERTEXT"/>
    <w:uiPriority w:val="99"/>
    <w:rsid w:val="00F17E8B"/>
    <w:rPr>
      <w:color w:val="0000FF"/>
      <w:u w:val="single"/>
    </w:rPr>
  </w:style>
  <w:style w:type="character" w:customStyle="1" w:styleId="Heading6Char">
    <w:name w:val="Heading 6 Char"/>
    <w:basedOn w:val="DefaultParagraphFont"/>
    <w:link w:val="Heading6"/>
    <w:rsid w:val="005576D3"/>
    <w:rPr>
      <w:rFonts w:ascii="Times New Roman" w:eastAsia="Times New Roman" w:hAnsi="Times New Roman" w:cs="Times New Roman"/>
      <w:color w:val="000000"/>
      <w:sz w:val="24"/>
    </w:rPr>
  </w:style>
  <w:style w:type="character" w:customStyle="1" w:styleId="QuickFormat3">
    <w:name w:val="QuickFormat3"/>
    <w:uiPriority w:val="99"/>
    <w:rsid w:val="005576D3"/>
    <w:rPr>
      <w:rFonts w:ascii="Copperplate Gothic" w:hAnsi="Copperplate Gothic" w:cs="Copperplate Gothic"/>
      <w:b/>
      <w:bCs/>
      <w:color w:val="FF0000"/>
      <w:sz w:val="36"/>
      <w:szCs w:val="36"/>
    </w:rPr>
  </w:style>
  <w:style w:type="character" w:customStyle="1" w:styleId="QuickForma01">
    <w:name w:val="QuickForma01"/>
    <w:uiPriority w:val="99"/>
    <w:rsid w:val="005576D3"/>
    <w:rPr>
      <w:rFonts w:ascii="Copperplate Gothic" w:hAnsi="Copperplate Gothic" w:cs="Copperplate Gothic"/>
      <w:b/>
      <w:bCs/>
      <w:color w:val="FF0000"/>
      <w:sz w:val="36"/>
      <w:szCs w:val="36"/>
    </w:rPr>
  </w:style>
  <w:style w:type="paragraph" w:styleId="Title">
    <w:name w:val="Title"/>
    <w:basedOn w:val="Normal"/>
    <w:next w:val="Normal"/>
    <w:link w:val="TitleChar"/>
    <w:rsid w:val="005576D3"/>
    <w:pPr>
      <w:spacing w:after="0" w:line="240" w:lineRule="auto"/>
      <w:contextualSpacing/>
    </w:pPr>
    <w:rPr>
      <w:rFonts w:ascii="Tahoma" w:eastAsiaTheme="majorEastAsia" w:hAnsi="Tahoma" w:cstheme="majorBidi"/>
      <w:color w:val="303030" w:themeColor="text1"/>
      <w:spacing w:val="-10"/>
      <w:kern w:val="28"/>
      <w:sz w:val="40"/>
      <w:szCs w:val="56"/>
    </w:rPr>
  </w:style>
  <w:style w:type="character" w:customStyle="1" w:styleId="TitleChar">
    <w:name w:val="Title Char"/>
    <w:basedOn w:val="DefaultParagraphFont"/>
    <w:link w:val="Title"/>
    <w:rsid w:val="005576D3"/>
    <w:rPr>
      <w:rFonts w:ascii="Tahoma" w:eastAsiaTheme="majorEastAsia" w:hAnsi="Tahoma" w:cstheme="majorBidi"/>
      <w:color w:val="303030" w:themeColor="text1"/>
      <w:spacing w:val="-10"/>
      <w:kern w:val="28"/>
      <w:sz w:val="40"/>
      <w:szCs w:val="56"/>
    </w:rPr>
  </w:style>
  <w:style w:type="character" w:customStyle="1" w:styleId="QuickFormat1">
    <w:name w:val="QuickFormat1"/>
    <w:uiPriority w:val="99"/>
    <w:rsid w:val="005576D3"/>
    <w:rPr>
      <w:rFonts w:ascii="Copperplate Gothic" w:hAnsi="Copperplate Gothic" w:cs="Copperplate Gothic"/>
      <w:b/>
      <w:bCs/>
      <w:color w:val="0000FF"/>
    </w:rPr>
  </w:style>
  <w:style w:type="table" w:styleId="LightGrid-Accent6">
    <w:name w:val="Light Grid Accent 6"/>
    <w:basedOn w:val="TableNormal"/>
    <w:uiPriority w:val="62"/>
    <w:rsid w:val="005576D3"/>
    <w:pPr>
      <w:spacing w:after="0" w:line="240" w:lineRule="auto"/>
    </w:pPr>
    <w:tblPr>
      <w:tblStyleRowBandSize w:val="1"/>
      <w:tblStyleColBandSize w:val="1"/>
      <w:tblBorders>
        <w:top w:val="single" w:sz="8" w:space="0" w:color="EB008B" w:themeColor="accent6"/>
        <w:left w:val="single" w:sz="8" w:space="0" w:color="EB008B" w:themeColor="accent6"/>
        <w:bottom w:val="single" w:sz="8" w:space="0" w:color="EB008B" w:themeColor="accent6"/>
        <w:right w:val="single" w:sz="8" w:space="0" w:color="EB008B" w:themeColor="accent6"/>
        <w:insideH w:val="single" w:sz="8" w:space="0" w:color="EB008B" w:themeColor="accent6"/>
        <w:insideV w:val="single" w:sz="8" w:space="0" w:color="EB008B"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B008B" w:themeColor="accent6"/>
          <w:left w:val="single" w:sz="8" w:space="0" w:color="EB008B" w:themeColor="accent6"/>
          <w:bottom w:val="single" w:sz="18" w:space="0" w:color="EB008B" w:themeColor="accent6"/>
          <w:right w:val="single" w:sz="8" w:space="0" w:color="EB008B" w:themeColor="accent6"/>
          <w:insideH w:val="nil"/>
          <w:insideV w:val="single" w:sz="8" w:space="0" w:color="EB008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B008B" w:themeColor="accent6"/>
          <w:left w:val="single" w:sz="8" w:space="0" w:color="EB008B" w:themeColor="accent6"/>
          <w:bottom w:val="single" w:sz="8" w:space="0" w:color="EB008B" w:themeColor="accent6"/>
          <w:right w:val="single" w:sz="8" w:space="0" w:color="EB008B" w:themeColor="accent6"/>
          <w:insideH w:val="nil"/>
          <w:insideV w:val="single" w:sz="8" w:space="0" w:color="EB008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B008B" w:themeColor="accent6"/>
          <w:left w:val="single" w:sz="8" w:space="0" w:color="EB008B" w:themeColor="accent6"/>
          <w:bottom w:val="single" w:sz="8" w:space="0" w:color="EB008B" w:themeColor="accent6"/>
          <w:right w:val="single" w:sz="8" w:space="0" w:color="EB008B" w:themeColor="accent6"/>
        </w:tcBorders>
      </w:tcPr>
    </w:tblStylePr>
    <w:tblStylePr w:type="band1Vert">
      <w:tblPr/>
      <w:tcPr>
        <w:tcBorders>
          <w:top w:val="single" w:sz="8" w:space="0" w:color="EB008B" w:themeColor="accent6"/>
          <w:left w:val="single" w:sz="8" w:space="0" w:color="EB008B" w:themeColor="accent6"/>
          <w:bottom w:val="single" w:sz="8" w:space="0" w:color="EB008B" w:themeColor="accent6"/>
          <w:right w:val="single" w:sz="8" w:space="0" w:color="EB008B" w:themeColor="accent6"/>
        </w:tcBorders>
        <w:shd w:val="clear" w:color="auto" w:fill="FFBBE3" w:themeFill="accent6" w:themeFillTint="3F"/>
      </w:tcPr>
    </w:tblStylePr>
    <w:tblStylePr w:type="band1Horz">
      <w:tblPr/>
      <w:tcPr>
        <w:tcBorders>
          <w:top w:val="single" w:sz="8" w:space="0" w:color="EB008B" w:themeColor="accent6"/>
          <w:left w:val="single" w:sz="8" w:space="0" w:color="EB008B" w:themeColor="accent6"/>
          <w:bottom w:val="single" w:sz="8" w:space="0" w:color="EB008B" w:themeColor="accent6"/>
          <w:right w:val="single" w:sz="8" w:space="0" w:color="EB008B" w:themeColor="accent6"/>
          <w:insideV w:val="single" w:sz="8" w:space="0" w:color="EB008B" w:themeColor="accent6"/>
        </w:tcBorders>
        <w:shd w:val="clear" w:color="auto" w:fill="FFBBE3" w:themeFill="accent6" w:themeFillTint="3F"/>
      </w:tcPr>
    </w:tblStylePr>
    <w:tblStylePr w:type="band2Horz">
      <w:tblPr/>
      <w:tcPr>
        <w:tcBorders>
          <w:top w:val="single" w:sz="8" w:space="0" w:color="EB008B" w:themeColor="accent6"/>
          <w:left w:val="single" w:sz="8" w:space="0" w:color="EB008B" w:themeColor="accent6"/>
          <w:bottom w:val="single" w:sz="8" w:space="0" w:color="EB008B" w:themeColor="accent6"/>
          <w:right w:val="single" w:sz="8" w:space="0" w:color="EB008B" w:themeColor="accent6"/>
          <w:insideV w:val="single" w:sz="8" w:space="0" w:color="EB008B" w:themeColor="accent6"/>
        </w:tcBorders>
      </w:tcPr>
    </w:tblStylePr>
  </w:style>
  <w:style w:type="paragraph" w:customStyle="1" w:styleId="Default">
    <w:name w:val="Default"/>
    <w:link w:val="DefaultChar"/>
    <w:rsid w:val="005576D3"/>
    <w:pPr>
      <w:autoSpaceDE w:val="0"/>
      <w:autoSpaceDN w:val="0"/>
      <w:adjustRightInd w:val="0"/>
      <w:spacing w:after="0" w:line="240" w:lineRule="auto"/>
    </w:pPr>
    <w:rPr>
      <w:rFonts w:ascii="Garamond" w:eastAsia="Calibri" w:hAnsi="Garamond" w:cs="Garamond"/>
      <w:color w:val="000000"/>
      <w:sz w:val="24"/>
      <w:szCs w:val="24"/>
      <w:lang w:bidi="he-IL"/>
    </w:rPr>
  </w:style>
  <w:style w:type="character" w:customStyle="1" w:styleId="DefaultChar">
    <w:name w:val="Default Char"/>
    <w:basedOn w:val="DefaultParagraphFont"/>
    <w:link w:val="Default"/>
    <w:rsid w:val="005576D3"/>
    <w:rPr>
      <w:rFonts w:ascii="Garamond" w:eastAsia="Calibri" w:hAnsi="Garamond" w:cs="Garamond"/>
      <w:color w:val="000000"/>
      <w:sz w:val="24"/>
      <w:szCs w:val="24"/>
      <w:lang w:bidi="he-IL"/>
    </w:rPr>
  </w:style>
  <w:style w:type="character" w:customStyle="1" w:styleId="apple-converted-space">
    <w:name w:val="apple-converted-space"/>
    <w:basedOn w:val="DefaultParagraphFont"/>
    <w:rsid w:val="005576D3"/>
  </w:style>
  <w:style w:type="character" w:customStyle="1" w:styleId="underline">
    <w:name w:val="underline"/>
    <w:basedOn w:val="DefaultParagraphFont"/>
    <w:rsid w:val="005576D3"/>
  </w:style>
  <w:style w:type="character" w:customStyle="1" w:styleId="cg-hilleldata">
    <w:name w:val="cg-hilleldata"/>
    <w:basedOn w:val="DefaultParagraphFont"/>
    <w:rsid w:val="005576D3"/>
  </w:style>
  <w:style w:type="paragraph" w:styleId="Subtitle">
    <w:name w:val="Subtitle"/>
    <w:basedOn w:val="Normal"/>
    <w:next w:val="Normal"/>
    <w:link w:val="SubtitleChar"/>
    <w:rsid w:val="005576D3"/>
    <w:pPr>
      <w:spacing w:before="360" w:after="80" w:line="240" w:lineRule="auto"/>
      <w:contextualSpacing/>
    </w:pPr>
    <w:rPr>
      <w:rFonts w:ascii="Georgia" w:eastAsia="Georgia" w:hAnsi="Georgia" w:cs="Georgia"/>
      <w:i/>
      <w:color w:val="666666"/>
      <w:sz w:val="48"/>
    </w:rPr>
  </w:style>
  <w:style w:type="character" w:customStyle="1" w:styleId="SubtitleChar">
    <w:name w:val="Subtitle Char"/>
    <w:basedOn w:val="DefaultParagraphFont"/>
    <w:link w:val="Subtitle"/>
    <w:rsid w:val="005576D3"/>
    <w:rPr>
      <w:rFonts w:ascii="Georgia" w:eastAsia="Georgia" w:hAnsi="Georgia" w:cs="Georgia"/>
      <w:i/>
      <w:color w:val="666666"/>
      <w:sz w:val="48"/>
    </w:rPr>
  </w:style>
  <w:style w:type="character" w:customStyle="1" w:styleId="publabel">
    <w:name w:val="publabel"/>
    <w:basedOn w:val="DefaultParagraphFont"/>
    <w:rsid w:val="005576D3"/>
  </w:style>
  <w:style w:type="character" w:customStyle="1" w:styleId="l">
    <w:name w:val="l"/>
    <w:basedOn w:val="DefaultParagraphFont"/>
    <w:rsid w:val="005576D3"/>
  </w:style>
  <w:style w:type="character" w:customStyle="1" w:styleId="f">
    <w:name w:val="f"/>
    <w:basedOn w:val="DefaultParagraphFont"/>
    <w:rsid w:val="005576D3"/>
  </w:style>
  <w:style w:type="character" w:styleId="FollowedHyperlink">
    <w:name w:val="FollowedHyperlink"/>
    <w:basedOn w:val="DefaultParagraphFont"/>
    <w:rsid w:val="005576D3"/>
    <w:rPr>
      <w:color w:val="EB008B" w:themeColor="followedHyperlink"/>
      <w:u w:val="single"/>
    </w:rPr>
  </w:style>
  <w:style w:type="character" w:customStyle="1" w:styleId="date-display-single">
    <w:name w:val="date-display-single"/>
    <w:basedOn w:val="DefaultParagraphFont"/>
    <w:rsid w:val="005576D3"/>
  </w:style>
  <w:style w:type="character" w:customStyle="1" w:styleId="author">
    <w:name w:val="author"/>
    <w:basedOn w:val="DefaultParagraphFont"/>
    <w:rsid w:val="005576D3"/>
  </w:style>
  <w:style w:type="character" w:customStyle="1" w:styleId="entry-date">
    <w:name w:val="entry-date"/>
    <w:basedOn w:val="DefaultParagraphFont"/>
    <w:rsid w:val="005576D3"/>
  </w:style>
  <w:style w:type="character" w:customStyle="1" w:styleId="current-selection">
    <w:name w:val="current-selection"/>
    <w:basedOn w:val="DefaultParagraphFont"/>
    <w:rsid w:val="005576D3"/>
  </w:style>
  <w:style w:type="character" w:customStyle="1" w:styleId="ff2">
    <w:name w:val="ff2"/>
    <w:basedOn w:val="DefaultParagraphFont"/>
    <w:rsid w:val="005576D3"/>
  </w:style>
  <w:style w:type="character" w:customStyle="1" w:styleId="a">
    <w:name w:val="_"/>
    <w:basedOn w:val="DefaultParagraphFont"/>
    <w:rsid w:val="005576D3"/>
  </w:style>
  <w:style w:type="character" w:customStyle="1" w:styleId="enhanced-author">
    <w:name w:val="enhanced-author"/>
    <w:basedOn w:val="DefaultParagraphFont"/>
    <w:rsid w:val="005576D3"/>
  </w:style>
  <w:style w:type="paragraph" w:customStyle="1" w:styleId="HeadingsArialNarrowBoldAccent3Centered">
    <w:name w:val="Headings (Arial Narrow) Bold Accent 3 Centered"/>
    <w:basedOn w:val="Normal"/>
    <w:rsid w:val="00C60105"/>
    <w:pPr>
      <w:spacing w:after="60" w:line="240" w:lineRule="auto"/>
      <w:jc w:val="center"/>
    </w:pPr>
    <w:rPr>
      <w:rFonts w:ascii="Arial Narrow" w:eastAsia="Times New Roman" w:hAnsi="Arial Narrow" w:cs="Times New Roman"/>
      <w:b/>
      <w:bCs/>
      <w:color w:val="92D050" w:themeColor="accent3"/>
      <w:sz w:val="24"/>
      <w:szCs w:val="20"/>
      <w:lang w:eastAsia="zh-CN"/>
    </w:rPr>
  </w:style>
  <w:style w:type="character" w:customStyle="1" w:styleId="ListParagraphChar">
    <w:name w:val="List Paragraph Char"/>
    <w:basedOn w:val="DefaultParagraphFont"/>
    <w:link w:val="ListParagraph"/>
    <w:uiPriority w:val="34"/>
    <w:rsid w:val="002E24F7"/>
    <w:rPr>
      <w:sz w:val="20"/>
    </w:rPr>
  </w:style>
  <w:style w:type="character" w:customStyle="1" w:styleId="UnresolvedMention2">
    <w:name w:val="Unresolved Mention2"/>
    <w:basedOn w:val="DefaultParagraphFont"/>
    <w:uiPriority w:val="99"/>
    <w:semiHidden/>
    <w:unhideWhenUsed/>
    <w:rsid w:val="003C6A25"/>
    <w:rPr>
      <w:color w:val="605E5C"/>
      <w:shd w:val="clear" w:color="auto" w:fill="E1DFDD"/>
    </w:rPr>
  </w:style>
  <w:style w:type="character" w:customStyle="1" w:styleId="UnresolvedMention3">
    <w:name w:val="Unresolved Mention3"/>
    <w:basedOn w:val="DefaultParagraphFont"/>
    <w:uiPriority w:val="99"/>
    <w:semiHidden/>
    <w:unhideWhenUsed/>
    <w:rsid w:val="00546F11"/>
    <w:rPr>
      <w:color w:val="605E5C"/>
      <w:shd w:val="clear" w:color="auto" w:fill="E1DFDD"/>
    </w:rPr>
  </w:style>
  <w:style w:type="paragraph" w:styleId="Revision">
    <w:name w:val="Revision"/>
    <w:hidden/>
    <w:uiPriority w:val="99"/>
    <w:semiHidden/>
    <w:rsid w:val="0025624F"/>
    <w:pPr>
      <w:spacing w:after="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643828">
      <w:bodyDiv w:val="1"/>
      <w:marLeft w:val="0"/>
      <w:marRight w:val="0"/>
      <w:marTop w:val="0"/>
      <w:marBottom w:val="0"/>
      <w:divBdr>
        <w:top w:val="none" w:sz="0" w:space="0" w:color="auto"/>
        <w:left w:val="none" w:sz="0" w:space="0" w:color="auto"/>
        <w:bottom w:val="none" w:sz="0" w:space="0" w:color="auto"/>
        <w:right w:val="none" w:sz="0" w:space="0" w:color="auto"/>
      </w:divBdr>
    </w:div>
    <w:div w:id="309290553">
      <w:bodyDiv w:val="1"/>
      <w:marLeft w:val="0"/>
      <w:marRight w:val="0"/>
      <w:marTop w:val="0"/>
      <w:marBottom w:val="0"/>
      <w:divBdr>
        <w:top w:val="none" w:sz="0" w:space="0" w:color="auto"/>
        <w:left w:val="none" w:sz="0" w:space="0" w:color="auto"/>
        <w:bottom w:val="none" w:sz="0" w:space="0" w:color="auto"/>
        <w:right w:val="none" w:sz="0" w:space="0" w:color="auto"/>
      </w:divBdr>
    </w:div>
    <w:div w:id="421729284">
      <w:bodyDiv w:val="1"/>
      <w:marLeft w:val="0"/>
      <w:marRight w:val="0"/>
      <w:marTop w:val="0"/>
      <w:marBottom w:val="0"/>
      <w:divBdr>
        <w:top w:val="none" w:sz="0" w:space="0" w:color="auto"/>
        <w:left w:val="none" w:sz="0" w:space="0" w:color="auto"/>
        <w:bottom w:val="none" w:sz="0" w:space="0" w:color="auto"/>
        <w:right w:val="none" w:sz="0" w:space="0" w:color="auto"/>
      </w:divBdr>
    </w:div>
    <w:div w:id="482505242">
      <w:bodyDiv w:val="1"/>
      <w:marLeft w:val="0"/>
      <w:marRight w:val="0"/>
      <w:marTop w:val="0"/>
      <w:marBottom w:val="0"/>
      <w:divBdr>
        <w:top w:val="none" w:sz="0" w:space="0" w:color="auto"/>
        <w:left w:val="none" w:sz="0" w:space="0" w:color="auto"/>
        <w:bottom w:val="none" w:sz="0" w:space="0" w:color="auto"/>
        <w:right w:val="none" w:sz="0" w:space="0" w:color="auto"/>
      </w:divBdr>
      <w:divsChild>
        <w:div w:id="1728920644">
          <w:marLeft w:val="0"/>
          <w:marRight w:val="0"/>
          <w:marTop w:val="0"/>
          <w:marBottom w:val="0"/>
          <w:divBdr>
            <w:top w:val="none" w:sz="0" w:space="0" w:color="auto"/>
            <w:left w:val="none" w:sz="0" w:space="0" w:color="auto"/>
            <w:bottom w:val="none" w:sz="0" w:space="0" w:color="auto"/>
            <w:right w:val="none" w:sz="0" w:space="0" w:color="auto"/>
          </w:divBdr>
          <w:divsChild>
            <w:div w:id="719208739">
              <w:marLeft w:val="0"/>
              <w:marRight w:val="0"/>
              <w:marTop w:val="0"/>
              <w:marBottom w:val="0"/>
              <w:divBdr>
                <w:top w:val="none" w:sz="0" w:space="0" w:color="auto"/>
                <w:left w:val="none" w:sz="0" w:space="0" w:color="auto"/>
                <w:bottom w:val="none" w:sz="0" w:space="0" w:color="auto"/>
                <w:right w:val="none" w:sz="0" w:space="0" w:color="auto"/>
              </w:divBdr>
              <w:divsChild>
                <w:div w:id="67045254">
                  <w:marLeft w:val="0"/>
                  <w:marRight w:val="0"/>
                  <w:marTop w:val="0"/>
                  <w:marBottom w:val="0"/>
                  <w:divBdr>
                    <w:top w:val="none" w:sz="0" w:space="0" w:color="auto"/>
                    <w:left w:val="none" w:sz="0" w:space="0" w:color="auto"/>
                    <w:bottom w:val="none" w:sz="0" w:space="0" w:color="auto"/>
                    <w:right w:val="none" w:sz="0" w:space="0" w:color="auto"/>
                  </w:divBdr>
                  <w:divsChild>
                    <w:div w:id="1493714765">
                      <w:marLeft w:val="0"/>
                      <w:marRight w:val="0"/>
                      <w:marTop w:val="0"/>
                      <w:marBottom w:val="0"/>
                      <w:divBdr>
                        <w:top w:val="none" w:sz="0" w:space="0" w:color="auto"/>
                        <w:left w:val="none" w:sz="0" w:space="0" w:color="auto"/>
                        <w:bottom w:val="none" w:sz="0" w:space="0" w:color="auto"/>
                        <w:right w:val="none" w:sz="0" w:space="0" w:color="auto"/>
                      </w:divBdr>
                      <w:divsChild>
                        <w:div w:id="184055775">
                          <w:marLeft w:val="0"/>
                          <w:marRight w:val="0"/>
                          <w:marTop w:val="0"/>
                          <w:marBottom w:val="0"/>
                          <w:divBdr>
                            <w:top w:val="none" w:sz="0" w:space="0" w:color="auto"/>
                            <w:left w:val="none" w:sz="0" w:space="0" w:color="auto"/>
                            <w:bottom w:val="none" w:sz="0" w:space="0" w:color="auto"/>
                            <w:right w:val="none" w:sz="0" w:space="0" w:color="auto"/>
                          </w:divBdr>
                          <w:divsChild>
                            <w:div w:id="449780705">
                              <w:marLeft w:val="0"/>
                              <w:marRight w:val="0"/>
                              <w:marTop w:val="0"/>
                              <w:marBottom w:val="0"/>
                              <w:divBdr>
                                <w:top w:val="none" w:sz="0" w:space="0" w:color="auto"/>
                                <w:left w:val="none" w:sz="0" w:space="0" w:color="auto"/>
                                <w:bottom w:val="none" w:sz="0" w:space="0" w:color="auto"/>
                                <w:right w:val="none" w:sz="0" w:space="0" w:color="auto"/>
                              </w:divBdr>
                              <w:divsChild>
                                <w:div w:id="17587236">
                                  <w:marLeft w:val="720"/>
                                  <w:marRight w:val="0"/>
                                  <w:marTop w:val="0"/>
                                  <w:marBottom w:val="0"/>
                                  <w:divBdr>
                                    <w:top w:val="none" w:sz="0" w:space="0" w:color="auto"/>
                                    <w:left w:val="none" w:sz="0" w:space="0" w:color="auto"/>
                                    <w:bottom w:val="none" w:sz="0" w:space="0" w:color="auto"/>
                                    <w:right w:val="none" w:sz="0" w:space="0" w:color="auto"/>
                                  </w:divBdr>
                                </w:div>
                                <w:div w:id="49154322">
                                  <w:marLeft w:val="0"/>
                                  <w:marRight w:val="0"/>
                                  <w:marTop w:val="0"/>
                                  <w:marBottom w:val="0"/>
                                  <w:divBdr>
                                    <w:top w:val="none" w:sz="0" w:space="0" w:color="auto"/>
                                    <w:left w:val="none" w:sz="0" w:space="0" w:color="auto"/>
                                    <w:bottom w:val="none" w:sz="0" w:space="0" w:color="auto"/>
                                    <w:right w:val="none" w:sz="0" w:space="0" w:color="auto"/>
                                  </w:divBdr>
                                </w:div>
                                <w:div w:id="79832044">
                                  <w:marLeft w:val="0"/>
                                  <w:marRight w:val="0"/>
                                  <w:marTop w:val="0"/>
                                  <w:marBottom w:val="0"/>
                                  <w:divBdr>
                                    <w:top w:val="none" w:sz="0" w:space="0" w:color="auto"/>
                                    <w:left w:val="none" w:sz="0" w:space="0" w:color="auto"/>
                                    <w:bottom w:val="none" w:sz="0" w:space="0" w:color="auto"/>
                                    <w:right w:val="none" w:sz="0" w:space="0" w:color="auto"/>
                                  </w:divBdr>
                                </w:div>
                                <w:div w:id="92557312">
                                  <w:marLeft w:val="0"/>
                                  <w:marRight w:val="0"/>
                                  <w:marTop w:val="0"/>
                                  <w:marBottom w:val="0"/>
                                  <w:divBdr>
                                    <w:top w:val="none" w:sz="0" w:space="0" w:color="auto"/>
                                    <w:left w:val="none" w:sz="0" w:space="0" w:color="auto"/>
                                    <w:bottom w:val="none" w:sz="0" w:space="0" w:color="auto"/>
                                    <w:right w:val="none" w:sz="0" w:space="0" w:color="auto"/>
                                  </w:divBdr>
                                </w:div>
                                <w:div w:id="148329878">
                                  <w:marLeft w:val="0"/>
                                  <w:marRight w:val="0"/>
                                  <w:marTop w:val="0"/>
                                  <w:marBottom w:val="0"/>
                                  <w:divBdr>
                                    <w:top w:val="none" w:sz="0" w:space="0" w:color="auto"/>
                                    <w:left w:val="none" w:sz="0" w:space="0" w:color="auto"/>
                                    <w:bottom w:val="none" w:sz="0" w:space="0" w:color="auto"/>
                                    <w:right w:val="none" w:sz="0" w:space="0" w:color="auto"/>
                                  </w:divBdr>
                                </w:div>
                                <w:div w:id="154957672">
                                  <w:marLeft w:val="720"/>
                                  <w:marRight w:val="0"/>
                                  <w:marTop w:val="0"/>
                                  <w:marBottom w:val="0"/>
                                  <w:divBdr>
                                    <w:top w:val="none" w:sz="0" w:space="0" w:color="auto"/>
                                    <w:left w:val="none" w:sz="0" w:space="0" w:color="auto"/>
                                    <w:bottom w:val="none" w:sz="0" w:space="0" w:color="auto"/>
                                    <w:right w:val="none" w:sz="0" w:space="0" w:color="auto"/>
                                  </w:divBdr>
                                </w:div>
                                <w:div w:id="164825783">
                                  <w:marLeft w:val="720"/>
                                  <w:marRight w:val="0"/>
                                  <w:marTop w:val="0"/>
                                  <w:marBottom w:val="0"/>
                                  <w:divBdr>
                                    <w:top w:val="none" w:sz="0" w:space="0" w:color="auto"/>
                                    <w:left w:val="none" w:sz="0" w:space="0" w:color="auto"/>
                                    <w:bottom w:val="none" w:sz="0" w:space="0" w:color="auto"/>
                                    <w:right w:val="none" w:sz="0" w:space="0" w:color="auto"/>
                                  </w:divBdr>
                                </w:div>
                                <w:div w:id="239798262">
                                  <w:marLeft w:val="0"/>
                                  <w:marRight w:val="0"/>
                                  <w:marTop w:val="0"/>
                                  <w:marBottom w:val="0"/>
                                  <w:divBdr>
                                    <w:top w:val="none" w:sz="0" w:space="0" w:color="auto"/>
                                    <w:left w:val="none" w:sz="0" w:space="0" w:color="auto"/>
                                    <w:bottom w:val="none" w:sz="0" w:space="0" w:color="auto"/>
                                    <w:right w:val="none" w:sz="0" w:space="0" w:color="auto"/>
                                  </w:divBdr>
                                </w:div>
                                <w:div w:id="290867328">
                                  <w:marLeft w:val="720"/>
                                  <w:marRight w:val="0"/>
                                  <w:marTop w:val="0"/>
                                  <w:marBottom w:val="0"/>
                                  <w:divBdr>
                                    <w:top w:val="none" w:sz="0" w:space="0" w:color="auto"/>
                                    <w:left w:val="none" w:sz="0" w:space="0" w:color="auto"/>
                                    <w:bottom w:val="none" w:sz="0" w:space="0" w:color="auto"/>
                                    <w:right w:val="none" w:sz="0" w:space="0" w:color="auto"/>
                                  </w:divBdr>
                                </w:div>
                                <w:div w:id="295264412">
                                  <w:marLeft w:val="0"/>
                                  <w:marRight w:val="0"/>
                                  <w:marTop w:val="0"/>
                                  <w:marBottom w:val="0"/>
                                  <w:divBdr>
                                    <w:top w:val="none" w:sz="0" w:space="0" w:color="auto"/>
                                    <w:left w:val="none" w:sz="0" w:space="0" w:color="auto"/>
                                    <w:bottom w:val="none" w:sz="0" w:space="0" w:color="auto"/>
                                    <w:right w:val="none" w:sz="0" w:space="0" w:color="auto"/>
                                  </w:divBdr>
                                </w:div>
                                <w:div w:id="317074034">
                                  <w:marLeft w:val="0"/>
                                  <w:marRight w:val="0"/>
                                  <w:marTop w:val="0"/>
                                  <w:marBottom w:val="0"/>
                                  <w:divBdr>
                                    <w:top w:val="none" w:sz="0" w:space="0" w:color="auto"/>
                                    <w:left w:val="none" w:sz="0" w:space="0" w:color="auto"/>
                                    <w:bottom w:val="none" w:sz="0" w:space="0" w:color="auto"/>
                                    <w:right w:val="none" w:sz="0" w:space="0" w:color="auto"/>
                                  </w:divBdr>
                                </w:div>
                                <w:div w:id="352613236">
                                  <w:marLeft w:val="0"/>
                                  <w:marRight w:val="0"/>
                                  <w:marTop w:val="0"/>
                                  <w:marBottom w:val="0"/>
                                  <w:divBdr>
                                    <w:top w:val="none" w:sz="0" w:space="0" w:color="auto"/>
                                    <w:left w:val="none" w:sz="0" w:space="0" w:color="auto"/>
                                    <w:bottom w:val="none" w:sz="0" w:space="0" w:color="auto"/>
                                    <w:right w:val="none" w:sz="0" w:space="0" w:color="auto"/>
                                  </w:divBdr>
                                </w:div>
                                <w:div w:id="412818178">
                                  <w:marLeft w:val="0"/>
                                  <w:marRight w:val="0"/>
                                  <w:marTop w:val="0"/>
                                  <w:marBottom w:val="0"/>
                                  <w:divBdr>
                                    <w:top w:val="none" w:sz="0" w:space="0" w:color="auto"/>
                                    <w:left w:val="none" w:sz="0" w:space="0" w:color="auto"/>
                                    <w:bottom w:val="none" w:sz="0" w:space="0" w:color="auto"/>
                                    <w:right w:val="none" w:sz="0" w:space="0" w:color="auto"/>
                                  </w:divBdr>
                                </w:div>
                                <w:div w:id="421804645">
                                  <w:marLeft w:val="0"/>
                                  <w:marRight w:val="0"/>
                                  <w:marTop w:val="0"/>
                                  <w:marBottom w:val="0"/>
                                  <w:divBdr>
                                    <w:top w:val="none" w:sz="0" w:space="0" w:color="auto"/>
                                    <w:left w:val="none" w:sz="0" w:space="0" w:color="auto"/>
                                    <w:bottom w:val="none" w:sz="0" w:space="0" w:color="auto"/>
                                    <w:right w:val="none" w:sz="0" w:space="0" w:color="auto"/>
                                  </w:divBdr>
                                </w:div>
                                <w:div w:id="432828462">
                                  <w:marLeft w:val="720"/>
                                  <w:marRight w:val="0"/>
                                  <w:marTop w:val="0"/>
                                  <w:marBottom w:val="0"/>
                                  <w:divBdr>
                                    <w:top w:val="none" w:sz="0" w:space="0" w:color="auto"/>
                                    <w:left w:val="none" w:sz="0" w:space="0" w:color="auto"/>
                                    <w:bottom w:val="none" w:sz="0" w:space="0" w:color="auto"/>
                                    <w:right w:val="none" w:sz="0" w:space="0" w:color="auto"/>
                                  </w:divBdr>
                                </w:div>
                                <w:div w:id="464008660">
                                  <w:marLeft w:val="720"/>
                                  <w:marRight w:val="0"/>
                                  <w:marTop w:val="0"/>
                                  <w:marBottom w:val="0"/>
                                  <w:divBdr>
                                    <w:top w:val="none" w:sz="0" w:space="0" w:color="auto"/>
                                    <w:left w:val="none" w:sz="0" w:space="0" w:color="auto"/>
                                    <w:bottom w:val="none" w:sz="0" w:space="0" w:color="auto"/>
                                    <w:right w:val="none" w:sz="0" w:space="0" w:color="auto"/>
                                  </w:divBdr>
                                </w:div>
                                <w:div w:id="621304110">
                                  <w:marLeft w:val="0"/>
                                  <w:marRight w:val="0"/>
                                  <w:marTop w:val="0"/>
                                  <w:marBottom w:val="0"/>
                                  <w:divBdr>
                                    <w:top w:val="none" w:sz="0" w:space="0" w:color="auto"/>
                                    <w:left w:val="none" w:sz="0" w:space="0" w:color="auto"/>
                                    <w:bottom w:val="none" w:sz="0" w:space="0" w:color="auto"/>
                                    <w:right w:val="none" w:sz="0" w:space="0" w:color="auto"/>
                                  </w:divBdr>
                                </w:div>
                                <w:div w:id="636109494">
                                  <w:marLeft w:val="0"/>
                                  <w:marRight w:val="0"/>
                                  <w:marTop w:val="0"/>
                                  <w:marBottom w:val="0"/>
                                  <w:divBdr>
                                    <w:top w:val="none" w:sz="0" w:space="0" w:color="auto"/>
                                    <w:left w:val="none" w:sz="0" w:space="0" w:color="auto"/>
                                    <w:bottom w:val="none" w:sz="0" w:space="0" w:color="auto"/>
                                    <w:right w:val="none" w:sz="0" w:space="0" w:color="auto"/>
                                  </w:divBdr>
                                </w:div>
                                <w:div w:id="669723054">
                                  <w:marLeft w:val="0"/>
                                  <w:marRight w:val="0"/>
                                  <w:marTop w:val="0"/>
                                  <w:marBottom w:val="0"/>
                                  <w:divBdr>
                                    <w:top w:val="none" w:sz="0" w:space="0" w:color="auto"/>
                                    <w:left w:val="none" w:sz="0" w:space="0" w:color="auto"/>
                                    <w:bottom w:val="none" w:sz="0" w:space="0" w:color="auto"/>
                                    <w:right w:val="none" w:sz="0" w:space="0" w:color="auto"/>
                                  </w:divBdr>
                                </w:div>
                                <w:div w:id="712731666">
                                  <w:marLeft w:val="720"/>
                                  <w:marRight w:val="0"/>
                                  <w:marTop w:val="0"/>
                                  <w:marBottom w:val="0"/>
                                  <w:divBdr>
                                    <w:top w:val="none" w:sz="0" w:space="0" w:color="auto"/>
                                    <w:left w:val="none" w:sz="0" w:space="0" w:color="auto"/>
                                    <w:bottom w:val="none" w:sz="0" w:space="0" w:color="auto"/>
                                    <w:right w:val="none" w:sz="0" w:space="0" w:color="auto"/>
                                  </w:divBdr>
                                </w:div>
                                <w:div w:id="738357666">
                                  <w:marLeft w:val="0"/>
                                  <w:marRight w:val="0"/>
                                  <w:marTop w:val="0"/>
                                  <w:marBottom w:val="0"/>
                                  <w:divBdr>
                                    <w:top w:val="none" w:sz="0" w:space="0" w:color="auto"/>
                                    <w:left w:val="none" w:sz="0" w:space="0" w:color="auto"/>
                                    <w:bottom w:val="none" w:sz="0" w:space="0" w:color="auto"/>
                                    <w:right w:val="none" w:sz="0" w:space="0" w:color="auto"/>
                                  </w:divBdr>
                                </w:div>
                                <w:div w:id="745493622">
                                  <w:marLeft w:val="0"/>
                                  <w:marRight w:val="0"/>
                                  <w:marTop w:val="0"/>
                                  <w:marBottom w:val="0"/>
                                  <w:divBdr>
                                    <w:top w:val="none" w:sz="0" w:space="0" w:color="auto"/>
                                    <w:left w:val="none" w:sz="0" w:space="0" w:color="auto"/>
                                    <w:bottom w:val="none" w:sz="0" w:space="0" w:color="auto"/>
                                    <w:right w:val="none" w:sz="0" w:space="0" w:color="auto"/>
                                  </w:divBdr>
                                </w:div>
                                <w:div w:id="796342115">
                                  <w:marLeft w:val="720"/>
                                  <w:marRight w:val="0"/>
                                  <w:marTop w:val="0"/>
                                  <w:marBottom w:val="0"/>
                                  <w:divBdr>
                                    <w:top w:val="none" w:sz="0" w:space="0" w:color="auto"/>
                                    <w:left w:val="none" w:sz="0" w:space="0" w:color="auto"/>
                                    <w:bottom w:val="none" w:sz="0" w:space="0" w:color="auto"/>
                                    <w:right w:val="none" w:sz="0" w:space="0" w:color="auto"/>
                                  </w:divBdr>
                                </w:div>
                                <w:div w:id="820805577">
                                  <w:marLeft w:val="0"/>
                                  <w:marRight w:val="0"/>
                                  <w:marTop w:val="0"/>
                                  <w:marBottom w:val="0"/>
                                  <w:divBdr>
                                    <w:top w:val="none" w:sz="0" w:space="0" w:color="auto"/>
                                    <w:left w:val="none" w:sz="0" w:space="0" w:color="auto"/>
                                    <w:bottom w:val="none" w:sz="0" w:space="0" w:color="auto"/>
                                    <w:right w:val="none" w:sz="0" w:space="0" w:color="auto"/>
                                  </w:divBdr>
                                </w:div>
                                <w:div w:id="891036744">
                                  <w:marLeft w:val="0"/>
                                  <w:marRight w:val="0"/>
                                  <w:marTop w:val="0"/>
                                  <w:marBottom w:val="0"/>
                                  <w:divBdr>
                                    <w:top w:val="none" w:sz="0" w:space="0" w:color="auto"/>
                                    <w:left w:val="none" w:sz="0" w:space="0" w:color="auto"/>
                                    <w:bottom w:val="none" w:sz="0" w:space="0" w:color="auto"/>
                                    <w:right w:val="none" w:sz="0" w:space="0" w:color="auto"/>
                                  </w:divBdr>
                                </w:div>
                                <w:div w:id="1035081841">
                                  <w:marLeft w:val="0"/>
                                  <w:marRight w:val="0"/>
                                  <w:marTop w:val="0"/>
                                  <w:marBottom w:val="0"/>
                                  <w:divBdr>
                                    <w:top w:val="none" w:sz="0" w:space="0" w:color="auto"/>
                                    <w:left w:val="none" w:sz="0" w:space="0" w:color="auto"/>
                                    <w:bottom w:val="none" w:sz="0" w:space="0" w:color="auto"/>
                                    <w:right w:val="none" w:sz="0" w:space="0" w:color="auto"/>
                                  </w:divBdr>
                                </w:div>
                                <w:div w:id="1039936992">
                                  <w:marLeft w:val="0"/>
                                  <w:marRight w:val="0"/>
                                  <w:marTop w:val="0"/>
                                  <w:marBottom w:val="0"/>
                                  <w:divBdr>
                                    <w:top w:val="none" w:sz="0" w:space="0" w:color="auto"/>
                                    <w:left w:val="none" w:sz="0" w:space="0" w:color="auto"/>
                                    <w:bottom w:val="none" w:sz="0" w:space="0" w:color="auto"/>
                                    <w:right w:val="none" w:sz="0" w:space="0" w:color="auto"/>
                                  </w:divBdr>
                                </w:div>
                                <w:div w:id="1097021014">
                                  <w:marLeft w:val="0"/>
                                  <w:marRight w:val="0"/>
                                  <w:marTop w:val="0"/>
                                  <w:marBottom w:val="0"/>
                                  <w:divBdr>
                                    <w:top w:val="none" w:sz="0" w:space="0" w:color="auto"/>
                                    <w:left w:val="none" w:sz="0" w:space="0" w:color="auto"/>
                                    <w:bottom w:val="none" w:sz="0" w:space="0" w:color="auto"/>
                                    <w:right w:val="none" w:sz="0" w:space="0" w:color="auto"/>
                                  </w:divBdr>
                                </w:div>
                                <w:div w:id="1116871513">
                                  <w:marLeft w:val="0"/>
                                  <w:marRight w:val="0"/>
                                  <w:marTop w:val="0"/>
                                  <w:marBottom w:val="0"/>
                                  <w:divBdr>
                                    <w:top w:val="none" w:sz="0" w:space="0" w:color="auto"/>
                                    <w:left w:val="none" w:sz="0" w:space="0" w:color="auto"/>
                                    <w:bottom w:val="none" w:sz="0" w:space="0" w:color="auto"/>
                                    <w:right w:val="none" w:sz="0" w:space="0" w:color="auto"/>
                                  </w:divBdr>
                                </w:div>
                                <w:div w:id="1182279988">
                                  <w:marLeft w:val="0"/>
                                  <w:marRight w:val="0"/>
                                  <w:marTop w:val="0"/>
                                  <w:marBottom w:val="0"/>
                                  <w:divBdr>
                                    <w:top w:val="none" w:sz="0" w:space="0" w:color="auto"/>
                                    <w:left w:val="none" w:sz="0" w:space="0" w:color="auto"/>
                                    <w:bottom w:val="none" w:sz="0" w:space="0" w:color="auto"/>
                                    <w:right w:val="none" w:sz="0" w:space="0" w:color="auto"/>
                                  </w:divBdr>
                                </w:div>
                                <w:div w:id="1184126609">
                                  <w:marLeft w:val="720"/>
                                  <w:marRight w:val="0"/>
                                  <w:marTop w:val="0"/>
                                  <w:marBottom w:val="0"/>
                                  <w:divBdr>
                                    <w:top w:val="none" w:sz="0" w:space="0" w:color="auto"/>
                                    <w:left w:val="none" w:sz="0" w:space="0" w:color="auto"/>
                                    <w:bottom w:val="none" w:sz="0" w:space="0" w:color="auto"/>
                                    <w:right w:val="none" w:sz="0" w:space="0" w:color="auto"/>
                                  </w:divBdr>
                                </w:div>
                                <w:div w:id="1185680121">
                                  <w:marLeft w:val="720"/>
                                  <w:marRight w:val="0"/>
                                  <w:marTop w:val="0"/>
                                  <w:marBottom w:val="0"/>
                                  <w:divBdr>
                                    <w:top w:val="none" w:sz="0" w:space="0" w:color="auto"/>
                                    <w:left w:val="none" w:sz="0" w:space="0" w:color="auto"/>
                                    <w:bottom w:val="none" w:sz="0" w:space="0" w:color="auto"/>
                                    <w:right w:val="none" w:sz="0" w:space="0" w:color="auto"/>
                                  </w:divBdr>
                                </w:div>
                                <w:div w:id="1262955024">
                                  <w:marLeft w:val="720"/>
                                  <w:marRight w:val="0"/>
                                  <w:marTop w:val="0"/>
                                  <w:marBottom w:val="0"/>
                                  <w:divBdr>
                                    <w:top w:val="none" w:sz="0" w:space="0" w:color="auto"/>
                                    <w:left w:val="none" w:sz="0" w:space="0" w:color="auto"/>
                                    <w:bottom w:val="none" w:sz="0" w:space="0" w:color="auto"/>
                                    <w:right w:val="none" w:sz="0" w:space="0" w:color="auto"/>
                                  </w:divBdr>
                                </w:div>
                                <w:div w:id="1265069235">
                                  <w:marLeft w:val="720"/>
                                  <w:marRight w:val="0"/>
                                  <w:marTop w:val="0"/>
                                  <w:marBottom w:val="0"/>
                                  <w:divBdr>
                                    <w:top w:val="none" w:sz="0" w:space="0" w:color="auto"/>
                                    <w:left w:val="none" w:sz="0" w:space="0" w:color="auto"/>
                                    <w:bottom w:val="none" w:sz="0" w:space="0" w:color="auto"/>
                                    <w:right w:val="none" w:sz="0" w:space="0" w:color="auto"/>
                                  </w:divBdr>
                                </w:div>
                                <w:div w:id="1270700597">
                                  <w:marLeft w:val="0"/>
                                  <w:marRight w:val="0"/>
                                  <w:marTop w:val="0"/>
                                  <w:marBottom w:val="0"/>
                                  <w:divBdr>
                                    <w:top w:val="none" w:sz="0" w:space="0" w:color="auto"/>
                                    <w:left w:val="none" w:sz="0" w:space="0" w:color="auto"/>
                                    <w:bottom w:val="none" w:sz="0" w:space="0" w:color="auto"/>
                                    <w:right w:val="none" w:sz="0" w:space="0" w:color="auto"/>
                                  </w:divBdr>
                                </w:div>
                                <w:div w:id="1299070839">
                                  <w:marLeft w:val="0"/>
                                  <w:marRight w:val="0"/>
                                  <w:marTop w:val="0"/>
                                  <w:marBottom w:val="0"/>
                                  <w:divBdr>
                                    <w:top w:val="none" w:sz="0" w:space="0" w:color="auto"/>
                                    <w:left w:val="none" w:sz="0" w:space="0" w:color="auto"/>
                                    <w:bottom w:val="none" w:sz="0" w:space="0" w:color="auto"/>
                                    <w:right w:val="none" w:sz="0" w:space="0" w:color="auto"/>
                                  </w:divBdr>
                                </w:div>
                                <w:div w:id="1321274895">
                                  <w:marLeft w:val="720"/>
                                  <w:marRight w:val="0"/>
                                  <w:marTop w:val="0"/>
                                  <w:marBottom w:val="0"/>
                                  <w:divBdr>
                                    <w:top w:val="none" w:sz="0" w:space="0" w:color="auto"/>
                                    <w:left w:val="none" w:sz="0" w:space="0" w:color="auto"/>
                                    <w:bottom w:val="none" w:sz="0" w:space="0" w:color="auto"/>
                                    <w:right w:val="none" w:sz="0" w:space="0" w:color="auto"/>
                                  </w:divBdr>
                                </w:div>
                                <w:div w:id="1346010886">
                                  <w:marLeft w:val="0"/>
                                  <w:marRight w:val="0"/>
                                  <w:marTop w:val="0"/>
                                  <w:marBottom w:val="0"/>
                                  <w:divBdr>
                                    <w:top w:val="none" w:sz="0" w:space="0" w:color="auto"/>
                                    <w:left w:val="none" w:sz="0" w:space="0" w:color="auto"/>
                                    <w:bottom w:val="none" w:sz="0" w:space="0" w:color="auto"/>
                                    <w:right w:val="none" w:sz="0" w:space="0" w:color="auto"/>
                                  </w:divBdr>
                                </w:div>
                                <w:div w:id="1348826842">
                                  <w:marLeft w:val="720"/>
                                  <w:marRight w:val="0"/>
                                  <w:marTop w:val="0"/>
                                  <w:marBottom w:val="0"/>
                                  <w:divBdr>
                                    <w:top w:val="none" w:sz="0" w:space="0" w:color="auto"/>
                                    <w:left w:val="none" w:sz="0" w:space="0" w:color="auto"/>
                                    <w:bottom w:val="none" w:sz="0" w:space="0" w:color="auto"/>
                                    <w:right w:val="none" w:sz="0" w:space="0" w:color="auto"/>
                                  </w:divBdr>
                                </w:div>
                                <w:div w:id="1357846094">
                                  <w:marLeft w:val="0"/>
                                  <w:marRight w:val="0"/>
                                  <w:marTop w:val="0"/>
                                  <w:marBottom w:val="0"/>
                                  <w:divBdr>
                                    <w:top w:val="none" w:sz="0" w:space="0" w:color="auto"/>
                                    <w:left w:val="none" w:sz="0" w:space="0" w:color="auto"/>
                                    <w:bottom w:val="none" w:sz="0" w:space="0" w:color="auto"/>
                                    <w:right w:val="none" w:sz="0" w:space="0" w:color="auto"/>
                                  </w:divBdr>
                                </w:div>
                                <w:div w:id="1366060643">
                                  <w:marLeft w:val="0"/>
                                  <w:marRight w:val="0"/>
                                  <w:marTop w:val="0"/>
                                  <w:marBottom w:val="0"/>
                                  <w:divBdr>
                                    <w:top w:val="none" w:sz="0" w:space="0" w:color="auto"/>
                                    <w:left w:val="none" w:sz="0" w:space="0" w:color="auto"/>
                                    <w:bottom w:val="none" w:sz="0" w:space="0" w:color="auto"/>
                                    <w:right w:val="none" w:sz="0" w:space="0" w:color="auto"/>
                                  </w:divBdr>
                                </w:div>
                                <w:div w:id="1389378387">
                                  <w:marLeft w:val="720"/>
                                  <w:marRight w:val="0"/>
                                  <w:marTop w:val="0"/>
                                  <w:marBottom w:val="0"/>
                                  <w:divBdr>
                                    <w:top w:val="none" w:sz="0" w:space="0" w:color="auto"/>
                                    <w:left w:val="none" w:sz="0" w:space="0" w:color="auto"/>
                                    <w:bottom w:val="none" w:sz="0" w:space="0" w:color="auto"/>
                                    <w:right w:val="none" w:sz="0" w:space="0" w:color="auto"/>
                                  </w:divBdr>
                                </w:div>
                                <w:div w:id="1429079905">
                                  <w:marLeft w:val="0"/>
                                  <w:marRight w:val="0"/>
                                  <w:marTop w:val="0"/>
                                  <w:marBottom w:val="0"/>
                                  <w:divBdr>
                                    <w:top w:val="none" w:sz="0" w:space="0" w:color="auto"/>
                                    <w:left w:val="none" w:sz="0" w:space="0" w:color="auto"/>
                                    <w:bottom w:val="none" w:sz="0" w:space="0" w:color="auto"/>
                                    <w:right w:val="none" w:sz="0" w:space="0" w:color="auto"/>
                                  </w:divBdr>
                                </w:div>
                                <w:div w:id="1465730195">
                                  <w:marLeft w:val="720"/>
                                  <w:marRight w:val="0"/>
                                  <w:marTop w:val="0"/>
                                  <w:marBottom w:val="0"/>
                                  <w:divBdr>
                                    <w:top w:val="none" w:sz="0" w:space="0" w:color="auto"/>
                                    <w:left w:val="none" w:sz="0" w:space="0" w:color="auto"/>
                                    <w:bottom w:val="none" w:sz="0" w:space="0" w:color="auto"/>
                                    <w:right w:val="none" w:sz="0" w:space="0" w:color="auto"/>
                                  </w:divBdr>
                                </w:div>
                                <w:div w:id="1482893294">
                                  <w:marLeft w:val="0"/>
                                  <w:marRight w:val="0"/>
                                  <w:marTop w:val="0"/>
                                  <w:marBottom w:val="0"/>
                                  <w:divBdr>
                                    <w:top w:val="none" w:sz="0" w:space="0" w:color="auto"/>
                                    <w:left w:val="none" w:sz="0" w:space="0" w:color="auto"/>
                                    <w:bottom w:val="none" w:sz="0" w:space="0" w:color="auto"/>
                                    <w:right w:val="none" w:sz="0" w:space="0" w:color="auto"/>
                                  </w:divBdr>
                                </w:div>
                                <w:div w:id="1535265976">
                                  <w:marLeft w:val="720"/>
                                  <w:marRight w:val="0"/>
                                  <w:marTop w:val="0"/>
                                  <w:marBottom w:val="0"/>
                                  <w:divBdr>
                                    <w:top w:val="none" w:sz="0" w:space="0" w:color="auto"/>
                                    <w:left w:val="none" w:sz="0" w:space="0" w:color="auto"/>
                                    <w:bottom w:val="none" w:sz="0" w:space="0" w:color="auto"/>
                                    <w:right w:val="none" w:sz="0" w:space="0" w:color="auto"/>
                                  </w:divBdr>
                                </w:div>
                                <w:div w:id="1537961602">
                                  <w:marLeft w:val="720"/>
                                  <w:marRight w:val="0"/>
                                  <w:marTop w:val="0"/>
                                  <w:marBottom w:val="0"/>
                                  <w:divBdr>
                                    <w:top w:val="none" w:sz="0" w:space="0" w:color="auto"/>
                                    <w:left w:val="none" w:sz="0" w:space="0" w:color="auto"/>
                                    <w:bottom w:val="none" w:sz="0" w:space="0" w:color="auto"/>
                                    <w:right w:val="none" w:sz="0" w:space="0" w:color="auto"/>
                                  </w:divBdr>
                                </w:div>
                                <w:div w:id="1556887221">
                                  <w:marLeft w:val="0"/>
                                  <w:marRight w:val="0"/>
                                  <w:marTop w:val="0"/>
                                  <w:marBottom w:val="0"/>
                                  <w:divBdr>
                                    <w:top w:val="none" w:sz="0" w:space="0" w:color="auto"/>
                                    <w:left w:val="none" w:sz="0" w:space="0" w:color="auto"/>
                                    <w:bottom w:val="none" w:sz="0" w:space="0" w:color="auto"/>
                                    <w:right w:val="none" w:sz="0" w:space="0" w:color="auto"/>
                                  </w:divBdr>
                                </w:div>
                                <w:div w:id="1577788343">
                                  <w:marLeft w:val="0"/>
                                  <w:marRight w:val="0"/>
                                  <w:marTop w:val="0"/>
                                  <w:marBottom w:val="0"/>
                                  <w:divBdr>
                                    <w:top w:val="none" w:sz="0" w:space="0" w:color="auto"/>
                                    <w:left w:val="none" w:sz="0" w:space="0" w:color="auto"/>
                                    <w:bottom w:val="none" w:sz="0" w:space="0" w:color="auto"/>
                                    <w:right w:val="none" w:sz="0" w:space="0" w:color="auto"/>
                                  </w:divBdr>
                                </w:div>
                                <w:div w:id="1608077617">
                                  <w:marLeft w:val="0"/>
                                  <w:marRight w:val="0"/>
                                  <w:marTop w:val="0"/>
                                  <w:marBottom w:val="0"/>
                                  <w:divBdr>
                                    <w:top w:val="none" w:sz="0" w:space="0" w:color="auto"/>
                                    <w:left w:val="none" w:sz="0" w:space="0" w:color="auto"/>
                                    <w:bottom w:val="none" w:sz="0" w:space="0" w:color="auto"/>
                                    <w:right w:val="none" w:sz="0" w:space="0" w:color="auto"/>
                                  </w:divBdr>
                                </w:div>
                                <w:div w:id="1610624949">
                                  <w:marLeft w:val="0"/>
                                  <w:marRight w:val="0"/>
                                  <w:marTop w:val="0"/>
                                  <w:marBottom w:val="0"/>
                                  <w:divBdr>
                                    <w:top w:val="none" w:sz="0" w:space="0" w:color="auto"/>
                                    <w:left w:val="none" w:sz="0" w:space="0" w:color="auto"/>
                                    <w:bottom w:val="none" w:sz="0" w:space="0" w:color="auto"/>
                                    <w:right w:val="none" w:sz="0" w:space="0" w:color="auto"/>
                                  </w:divBdr>
                                </w:div>
                                <w:div w:id="1646617939">
                                  <w:marLeft w:val="0"/>
                                  <w:marRight w:val="0"/>
                                  <w:marTop w:val="0"/>
                                  <w:marBottom w:val="0"/>
                                  <w:divBdr>
                                    <w:top w:val="none" w:sz="0" w:space="0" w:color="auto"/>
                                    <w:left w:val="none" w:sz="0" w:space="0" w:color="auto"/>
                                    <w:bottom w:val="none" w:sz="0" w:space="0" w:color="auto"/>
                                    <w:right w:val="none" w:sz="0" w:space="0" w:color="auto"/>
                                  </w:divBdr>
                                </w:div>
                                <w:div w:id="1655645435">
                                  <w:marLeft w:val="0"/>
                                  <w:marRight w:val="0"/>
                                  <w:marTop w:val="0"/>
                                  <w:marBottom w:val="0"/>
                                  <w:divBdr>
                                    <w:top w:val="none" w:sz="0" w:space="0" w:color="auto"/>
                                    <w:left w:val="none" w:sz="0" w:space="0" w:color="auto"/>
                                    <w:bottom w:val="none" w:sz="0" w:space="0" w:color="auto"/>
                                    <w:right w:val="none" w:sz="0" w:space="0" w:color="auto"/>
                                  </w:divBdr>
                                </w:div>
                                <w:div w:id="1687714446">
                                  <w:marLeft w:val="720"/>
                                  <w:marRight w:val="0"/>
                                  <w:marTop w:val="0"/>
                                  <w:marBottom w:val="0"/>
                                  <w:divBdr>
                                    <w:top w:val="none" w:sz="0" w:space="0" w:color="auto"/>
                                    <w:left w:val="none" w:sz="0" w:space="0" w:color="auto"/>
                                    <w:bottom w:val="none" w:sz="0" w:space="0" w:color="auto"/>
                                    <w:right w:val="none" w:sz="0" w:space="0" w:color="auto"/>
                                  </w:divBdr>
                                </w:div>
                                <w:div w:id="1688362837">
                                  <w:marLeft w:val="0"/>
                                  <w:marRight w:val="0"/>
                                  <w:marTop w:val="0"/>
                                  <w:marBottom w:val="0"/>
                                  <w:divBdr>
                                    <w:top w:val="none" w:sz="0" w:space="0" w:color="auto"/>
                                    <w:left w:val="none" w:sz="0" w:space="0" w:color="auto"/>
                                    <w:bottom w:val="none" w:sz="0" w:space="0" w:color="auto"/>
                                    <w:right w:val="none" w:sz="0" w:space="0" w:color="auto"/>
                                  </w:divBdr>
                                </w:div>
                                <w:div w:id="1688601359">
                                  <w:marLeft w:val="0"/>
                                  <w:marRight w:val="0"/>
                                  <w:marTop w:val="0"/>
                                  <w:marBottom w:val="0"/>
                                  <w:divBdr>
                                    <w:top w:val="none" w:sz="0" w:space="0" w:color="auto"/>
                                    <w:left w:val="none" w:sz="0" w:space="0" w:color="auto"/>
                                    <w:bottom w:val="none" w:sz="0" w:space="0" w:color="auto"/>
                                    <w:right w:val="none" w:sz="0" w:space="0" w:color="auto"/>
                                  </w:divBdr>
                                </w:div>
                                <w:div w:id="1740057369">
                                  <w:marLeft w:val="720"/>
                                  <w:marRight w:val="0"/>
                                  <w:marTop w:val="0"/>
                                  <w:marBottom w:val="0"/>
                                  <w:divBdr>
                                    <w:top w:val="none" w:sz="0" w:space="0" w:color="auto"/>
                                    <w:left w:val="none" w:sz="0" w:space="0" w:color="auto"/>
                                    <w:bottom w:val="none" w:sz="0" w:space="0" w:color="auto"/>
                                    <w:right w:val="none" w:sz="0" w:space="0" w:color="auto"/>
                                  </w:divBdr>
                                </w:div>
                                <w:div w:id="1742829119">
                                  <w:marLeft w:val="720"/>
                                  <w:marRight w:val="0"/>
                                  <w:marTop w:val="0"/>
                                  <w:marBottom w:val="0"/>
                                  <w:divBdr>
                                    <w:top w:val="none" w:sz="0" w:space="0" w:color="auto"/>
                                    <w:left w:val="none" w:sz="0" w:space="0" w:color="auto"/>
                                    <w:bottom w:val="none" w:sz="0" w:space="0" w:color="auto"/>
                                    <w:right w:val="none" w:sz="0" w:space="0" w:color="auto"/>
                                  </w:divBdr>
                                </w:div>
                                <w:div w:id="1784379272">
                                  <w:marLeft w:val="0"/>
                                  <w:marRight w:val="0"/>
                                  <w:marTop w:val="0"/>
                                  <w:marBottom w:val="0"/>
                                  <w:divBdr>
                                    <w:top w:val="none" w:sz="0" w:space="0" w:color="auto"/>
                                    <w:left w:val="none" w:sz="0" w:space="0" w:color="auto"/>
                                    <w:bottom w:val="none" w:sz="0" w:space="0" w:color="auto"/>
                                    <w:right w:val="none" w:sz="0" w:space="0" w:color="auto"/>
                                  </w:divBdr>
                                </w:div>
                                <w:div w:id="1786650771">
                                  <w:marLeft w:val="720"/>
                                  <w:marRight w:val="0"/>
                                  <w:marTop w:val="0"/>
                                  <w:marBottom w:val="0"/>
                                  <w:divBdr>
                                    <w:top w:val="none" w:sz="0" w:space="0" w:color="auto"/>
                                    <w:left w:val="none" w:sz="0" w:space="0" w:color="auto"/>
                                    <w:bottom w:val="none" w:sz="0" w:space="0" w:color="auto"/>
                                    <w:right w:val="none" w:sz="0" w:space="0" w:color="auto"/>
                                  </w:divBdr>
                                </w:div>
                                <w:div w:id="1810901345">
                                  <w:marLeft w:val="0"/>
                                  <w:marRight w:val="0"/>
                                  <w:marTop w:val="0"/>
                                  <w:marBottom w:val="0"/>
                                  <w:divBdr>
                                    <w:top w:val="none" w:sz="0" w:space="0" w:color="auto"/>
                                    <w:left w:val="none" w:sz="0" w:space="0" w:color="auto"/>
                                    <w:bottom w:val="none" w:sz="0" w:space="0" w:color="auto"/>
                                    <w:right w:val="none" w:sz="0" w:space="0" w:color="auto"/>
                                  </w:divBdr>
                                </w:div>
                                <w:div w:id="1812014133">
                                  <w:marLeft w:val="0"/>
                                  <w:marRight w:val="0"/>
                                  <w:marTop w:val="0"/>
                                  <w:marBottom w:val="0"/>
                                  <w:divBdr>
                                    <w:top w:val="none" w:sz="0" w:space="0" w:color="auto"/>
                                    <w:left w:val="none" w:sz="0" w:space="0" w:color="auto"/>
                                    <w:bottom w:val="none" w:sz="0" w:space="0" w:color="auto"/>
                                    <w:right w:val="none" w:sz="0" w:space="0" w:color="auto"/>
                                  </w:divBdr>
                                </w:div>
                                <w:div w:id="1835097833">
                                  <w:marLeft w:val="0"/>
                                  <w:marRight w:val="0"/>
                                  <w:marTop w:val="0"/>
                                  <w:marBottom w:val="0"/>
                                  <w:divBdr>
                                    <w:top w:val="none" w:sz="0" w:space="0" w:color="auto"/>
                                    <w:left w:val="none" w:sz="0" w:space="0" w:color="auto"/>
                                    <w:bottom w:val="none" w:sz="0" w:space="0" w:color="auto"/>
                                    <w:right w:val="none" w:sz="0" w:space="0" w:color="auto"/>
                                  </w:divBdr>
                                </w:div>
                                <w:div w:id="1835297403">
                                  <w:marLeft w:val="0"/>
                                  <w:marRight w:val="0"/>
                                  <w:marTop w:val="0"/>
                                  <w:marBottom w:val="0"/>
                                  <w:divBdr>
                                    <w:top w:val="none" w:sz="0" w:space="0" w:color="auto"/>
                                    <w:left w:val="none" w:sz="0" w:space="0" w:color="auto"/>
                                    <w:bottom w:val="none" w:sz="0" w:space="0" w:color="auto"/>
                                    <w:right w:val="none" w:sz="0" w:space="0" w:color="auto"/>
                                  </w:divBdr>
                                </w:div>
                                <w:div w:id="1838836653">
                                  <w:marLeft w:val="0"/>
                                  <w:marRight w:val="0"/>
                                  <w:marTop w:val="0"/>
                                  <w:marBottom w:val="0"/>
                                  <w:divBdr>
                                    <w:top w:val="none" w:sz="0" w:space="0" w:color="auto"/>
                                    <w:left w:val="none" w:sz="0" w:space="0" w:color="auto"/>
                                    <w:bottom w:val="none" w:sz="0" w:space="0" w:color="auto"/>
                                    <w:right w:val="none" w:sz="0" w:space="0" w:color="auto"/>
                                  </w:divBdr>
                                </w:div>
                                <w:div w:id="1893613633">
                                  <w:marLeft w:val="0"/>
                                  <w:marRight w:val="0"/>
                                  <w:marTop w:val="0"/>
                                  <w:marBottom w:val="0"/>
                                  <w:divBdr>
                                    <w:top w:val="none" w:sz="0" w:space="0" w:color="auto"/>
                                    <w:left w:val="none" w:sz="0" w:space="0" w:color="auto"/>
                                    <w:bottom w:val="none" w:sz="0" w:space="0" w:color="auto"/>
                                    <w:right w:val="none" w:sz="0" w:space="0" w:color="auto"/>
                                  </w:divBdr>
                                </w:div>
                                <w:div w:id="1920367045">
                                  <w:marLeft w:val="0"/>
                                  <w:marRight w:val="0"/>
                                  <w:marTop w:val="0"/>
                                  <w:marBottom w:val="0"/>
                                  <w:divBdr>
                                    <w:top w:val="none" w:sz="0" w:space="0" w:color="auto"/>
                                    <w:left w:val="none" w:sz="0" w:space="0" w:color="auto"/>
                                    <w:bottom w:val="none" w:sz="0" w:space="0" w:color="auto"/>
                                    <w:right w:val="none" w:sz="0" w:space="0" w:color="auto"/>
                                  </w:divBdr>
                                </w:div>
                                <w:div w:id="1929650841">
                                  <w:marLeft w:val="720"/>
                                  <w:marRight w:val="0"/>
                                  <w:marTop w:val="0"/>
                                  <w:marBottom w:val="0"/>
                                  <w:divBdr>
                                    <w:top w:val="none" w:sz="0" w:space="0" w:color="auto"/>
                                    <w:left w:val="none" w:sz="0" w:space="0" w:color="auto"/>
                                    <w:bottom w:val="none" w:sz="0" w:space="0" w:color="auto"/>
                                    <w:right w:val="none" w:sz="0" w:space="0" w:color="auto"/>
                                  </w:divBdr>
                                </w:div>
                                <w:div w:id="1978684735">
                                  <w:marLeft w:val="720"/>
                                  <w:marRight w:val="0"/>
                                  <w:marTop w:val="0"/>
                                  <w:marBottom w:val="0"/>
                                  <w:divBdr>
                                    <w:top w:val="none" w:sz="0" w:space="0" w:color="auto"/>
                                    <w:left w:val="none" w:sz="0" w:space="0" w:color="auto"/>
                                    <w:bottom w:val="none" w:sz="0" w:space="0" w:color="auto"/>
                                    <w:right w:val="none" w:sz="0" w:space="0" w:color="auto"/>
                                  </w:divBdr>
                                </w:div>
                                <w:div w:id="2041466696">
                                  <w:marLeft w:val="0"/>
                                  <w:marRight w:val="0"/>
                                  <w:marTop w:val="0"/>
                                  <w:marBottom w:val="0"/>
                                  <w:divBdr>
                                    <w:top w:val="none" w:sz="0" w:space="0" w:color="auto"/>
                                    <w:left w:val="none" w:sz="0" w:space="0" w:color="auto"/>
                                    <w:bottom w:val="none" w:sz="0" w:space="0" w:color="auto"/>
                                    <w:right w:val="none" w:sz="0" w:space="0" w:color="auto"/>
                                  </w:divBdr>
                                </w:div>
                                <w:div w:id="2070376261">
                                  <w:marLeft w:val="720"/>
                                  <w:marRight w:val="0"/>
                                  <w:marTop w:val="0"/>
                                  <w:marBottom w:val="0"/>
                                  <w:divBdr>
                                    <w:top w:val="none" w:sz="0" w:space="0" w:color="auto"/>
                                    <w:left w:val="none" w:sz="0" w:space="0" w:color="auto"/>
                                    <w:bottom w:val="none" w:sz="0" w:space="0" w:color="auto"/>
                                    <w:right w:val="none" w:sz="0" w:space="0" w:color="auto"/>
                                  </w:divBdr>
                                </w:div>
                                <w:div w:id="2105609049">
                                  <w:marLeft w:val="0"/>
                                  <w:marRight w:val="0"/>
                                  <w:marTop w:val="0"/>
                                  <w:marBottom w:val="0"/>
                                  <w:divBdr>
                                    <w:top w:val="none" w:sz="0" w:space="0" w:color="auto"/>
                                    <w:left w:val="none" w:sz="0" w:space="0" w:color="auto"/>
                                    <w:bottom w:val="none" w:sz="0" w:space="0" w:color="auto"/>
                                    <w:right w:val="none" w:sz="0" w:space="0" w:color="auto"/>
                                  </w:divBdr>
                                </w:div>
                                <w:div w:id="2112316158">
                                  <w:marLeft w:val="720"/>
                                  <w:marRight w:val="0"/>
                                  <w:marTop w:val="0"/>
                                  <w:marBottom w:val="0"/>
                                  <w:divBdr>
                                    <w:top w:val="none" w:sz="0" w:space="0" w:color="auto"/>
                                    <w:left w:val="none" w:sz="0" w:space="0" w:color="auto"/>
                                    <w:bottom w:val="none" w:sz="0" w:space="0" w:color="auto"/>
                                    <w:right w:val="none" w:sz="0" w:space="0" w:color="auto"/>
                                  </w:divBdr>
                                </w:div>
                                <w:div w:id="2112969815">
                                  <w:marLeft w:val="0"/>
                                  <w:marRight w:val="0"/>
                                  <w:marTop w:val="0"/>
                                  <w:marBottom w:val="0"/>
                                  <w:divBdr>
                                    <w:top w:val="none" w:sz="0" w:space="0" w:color="auto"/>
                                    <w:left w:val="none" w:sz="0" w:space="0" w:color="auto"/>
                                    <w:bottom w:val="none" w:sz="0" w:space="0" w:color="auto"/>
                                    <w:right w:val="none" w:sz="0" w:space="0" w:color="auto"/>
                                  </w:divBdr>
                                </w:div>
                                <w:div w:id="2115785389">
                                  <w:marLeft w:val="0"/>
                                  <w:marRight w:val="0"/>
                                  <w:marTop w:val="0"/>
                                  <w:marBottom w:val="0"/>
                                  <w:divBdr>
                                    <w:top w:val="none" w:sz="0" w:space="0" w:color="auto"/>
                                    <w:left w:val="none" w:sz="0" w:space="0" w:color="auto"/>
                                    <w:bottom w:val="none" w:sz="0" w:space="0" w:color="auto"/>
                                    <w:right w:val="none" w:sz="0" w:space="0" w:color="auto"/>
                                  </w:divBdr>
                                </w:div>
                                <w:div w:id="213347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3083772">
      <w:bodyDiv w:val="1"/>
      <w:marLeft w:val="0"/>
      <w:marRight w:val="0"/>
      <w:marTop w:val="0"/>
      <w:marBottom w:val="0"/>
      <w:divBdr>
        <w:top w:val="none" w:sz="0" w:space="0" w:color="auto"/>
        <w:left w:val="none" w:sz="0" w:space="0" w:color="auto"/>
        <w:bottom w:val="none" w:sz="0" w:space="0" w:color="auto"/>
        <w:right w:val="none" w:sz="0" w:space="0" w:color="auto"/>
      </w:divBdr>
    </w:div>
    <w:div w:id="566844275">
      <w:bodyDiv w:val="1"/>
      <w:marLeft w:val="0"/>
      <w:marRight w:val="0"/>
      <w:marTop w:val="0"/>
      <w:marBottom w:val="0"/>
      <w:divBdr>
        <w:top w:val="none" w:sz="0" w:space="0" w:color="auto"/>
        <w:left w:val="none" w:sz="0" w:space="0" w:color="auto"/>
        <w:bottom w:val="none" w:sz="0" w:space="0" w:color="auto"/>
        <w:right w:val="none" w:sz="0" w:space="0" w:color="auto"/>
      </w:divBdr>
    </w:div>
    <w:div w:id="613514337">
      <w:bodyDiv w:val="1"/>
      <w:marLeft w:val="0"/>
      <w:marRight w:val="0"/>
      <w:marTop w:val="0"/>
      <w:marBottom w:val="0"/>
      <w:divBdr>
        <w:top w:val="none" w:sz="0" w:space="0" w:color="auto"/>
        <w:left w:val="none" w:sz="0" w:space="0" w:color="auto"/>
        <w:bottom w:val="none" w:sz="0" w:space="0" w:color="auto"/>
        <w:right w:val="none" w:sz="0" w:space="0" w:color="auto"/>
      </w:divBdr>
    </w:div>
    <w:div w:id="658660150">
      <w:bodyDiv w:val="1"/>
      <w:marLeft w:val="0"/>
      <w:marRight w:val="0"/>
      <w:marTop w:val="0"/>
      <w:marBottom w:val="0"/>
      <w:divBdr>
        <w:top w:val="none" w:sz="0" w:space="0" w:color="auto"/>
        <w:left w:val="none" w:sz="0" w:space="0" w:color="auto"/>
        <w:bottom w:val="none" w:sz="0" w:space="0" w:color="auto"/>
        <w:right w:val="none" w:sz="0" w:space="0" w:color="auto"/>
      </w:divBdr>
    </w:div>
    <w:div w:id="688023823">
      <w:bodyDiv w:val="1"/>
      <w:marLeft w:val="0"/>
      <w:marRight w:val="0"/>
      <w:marTop w:val="0"/>
      <w:marBottom w:val="0"/>
      <w:divBdr>
        <w:top w:val="none" w:sz="0" w:space="0" w:color="auto"/>
        <w:left w:val="none" w:sz="0" w:space="0" w:color="auto"/>
        <w:bottom w:val="none" w:sz="0" w:space="0" w:color="auto"/>
        <w:right w:val="none" w:sz="0" w:space="0" w:color="auto"/>
      </w:divBdr>
    </w:div>
    <w:div w:id="706611735">
      <w:bodyDiv w:val="1"/>
      <w:marLeft w:val="0"/>
      <w:marRight w:val="0"/>
      <w:marTop w:val="0"/>
      <w:marBottom w:val="0"/>
      <w:divBdr>
        <w:top w:val="none" w:sz="0" w:space="0" w:color="auto"/>
        <w:left w:val="none" w:sz="0" w:space="0" w:color="auto"/>
        <w:bottom w:val="none" w:sz="0" w:space="0" w:color="auto"/>
        <w:right w:val="none" w:sz="0" w:space="0" w:color="auto"/>
      </w:divBdr>
    </w:div>
    <w:div w:id="724336563">
      <w:bodyDiv w:val="1"/>
      <w:marLeft w:val="0"/>
      <w:marRight w:val="0"/>
      <w:marTop w:val="0"/>
      <w:marBottom w:val="0"/>
      <w:divBdr>
        <w:top w:val="none" w:sz="0" w:space="0" w:color="auto"/>
        <w:left w:val="none" w:sz="0" w:space="0" w:color="auto"/>
        <w:bottom w:val="none" w:sz="0" w:space="0" w:color="auto"/>
        <w:right w:val="none" w:sz="0" w:space="0" w:color="auto"/>
      </w:divBdr>
    </w:div>
    <w:div w:id="832259087">
      <w:bodyDiv w:val="1"/>
      <w:marLeft w:val="0"/>
      <w:marRight w:val="0"/>
      <w:marTop w:val="0"/>
      <w:marBottom w:val="0"/>
      <w:divBdr>
        <w:top w:val="none" w:sz="0" w:space="0" w:color="auto"/>
        <w:left w:val="none" w:sz="0" w:space="0" w:color="auto"/>
        <w:bottom w:val="none" w:sz="0" w:space="0" w:color="auto"/>
        <w:right w:val="none" w:sz="0" w:space="0" w:color="auto"/>
      </w:divBdr>
    </w:div>
    <w:div w:id="835220103">
      <w:bodyDiv w:val="1"/>
      <w:marLeft w:val="0"/>
      <w:marRight w:val="0"/>
      <w:marTop w:val="0"/>
      <w:marBottom w:val="0"/>
      <w:divBdr>
        <w:top w:val="none" w:sz="0" w:space="0" w:color="auto"/>
        <w:left w:val="none" w:sz="0" w:space="0" w:color="auto"/>
        <w:bottom w:val="none" w:sz="0" w:space="0" w:color="auto"/>
        <w:right w:val="none" w:sz="0" w:space="0" w:color="auto"/>
      </w:divBdr>
    </w:div>
    <w:div w:id="951280039">
      <w:bodyDiv w:val="1"/>
      <w:marLeft w:val="0"/>
      <w:marRight w:val="0"/>
      <w:marTop w:val="0"/>
      <w:marBottom w:val="0"/>
      <w:divBdr>
        <w:top w:val="none" w:sz="0" w:space="0" w:color="auto"/>
        <w:left w:val="none" w:sz="0" w:space="0" w:color="auto"/>
        <w:bottom w:val="none" w:sz="0" w:space="0" w:color="auto"/>
        <w:right w:val="none" w:sz="0" w:space="0" w:color="auto"/>
      </w:divBdr>
    </w:div>
    <w:div w:id="1018389479">
      <w:bodyDiv w:val="1"/>
      <w:marLeft w:val="0"/>
      <w:marRight w:val="0"/>
      <w:marTop w:val="0"/>
      <w:marBottom w:val="0"/>
      <w:divBdr>
        <w:top w:val="none" w:sz="0" w:space="0" w:color="auto"/>
        <w:left w:val="none" w:sz="0" w:space="0" w:color="auto"/>
        <w:bottom w:val="none" w:sz="0" w:space="0" w:color="auto"/>
        <w:right w:val="none" w:sz="0" w:space="0" w:color="auto"/>
      </w:divBdr>
    </w:div>
    <w:div w:id="1073970410">
      <w:bodyDiv w:val="1"/>
      <w:marLeft w:val="0"/>
      <w:marRight w:val="0"/>
      <w:marTop w:val="0"/>
      <w:marBottom w:val="0"/>
      <w:divBdr>
        <w:top w:val="none" w:sz="0" w:space="0" w:color="auto"/>
        <w:left w:val="none" w:sz="0" w:space="0" w:color="auto"/>
        <w:bottom w:val="none" w:sz="0" w:space="0" w:color="auto"/>
        <w:right w:val="none" w:sz="0" w:space="0" w:color="auto"/>
      </w:divBdr>
    </w:div>
    <w:div w:id="1125663825">
      <w:bodyDiv w:val="1"/>
      <w:marLeft w:val="0"/>
      <w:marRight w:val="0"/>
      <w:marTop w:val="0"/>
      <w:marBottom w:val="0"/>
      <w:divBdr>
        <w:top w:val="none" w:sz="0" w:space="0" w:color="auto"/>
        <w:left w:val="none" w:sz="0" w:space="0" w:color="auto"/>
        <w:bottom w:val="none" w:sz="0" w:space="0" w:color="auto"/>
        <w:right w:val="none" w:sz="0" w:space="0" w:color="auto"/>
      </w:divBdr>
    </w:div>
    <w:div w:id="1171722246">
      <w:bodyDiv w:val="1"/>
      <w:marLeft w:val="0"/>
      <w:marRight w:val="0"/>
      <w:marTop w:val="0"/>
      <w:marBottom w:val="0"/>
      <w:divBdr>
        <w:top w:val="none" w:sz="0" w:space="0" w:color="auto"/>
        <w:left w:val="none" w:sz="0" w:space="0" w:color="auto"/>
        <w:bottom w:val="none" w:sz="0" w:space="0" w:color="auto"/>
        <w:right w:val="none" w:sz="0" w:space="0" w:color="auto"/>
      </w:divBdr>
    </w:div>
    <w:div w:id="1191533943">
      <w:bodyDiv w:val="1"/>
      <w:marLeft w:val="0"/>
      <w:marRight w:val="0"/>
      <w:marTop w:val="0"/>
      <w:marBottom w:val="0"/>
      <w:divBdr>
        <w:top w:val="none" w:sz="0" w:space="0" w:color="auto"/>
        <w:left w:val="none" w:sz="0" w:space="0" w:color="auto"/>
        <w:bottom w:val="none" w:sz="0" w:space="0" w:color="auto"/>
        <w:right w:val="none" w:sz="0" w:space="0" w:color="auto"/>
      </w:divBdr>
    </w:div>
    <w:div w:id="1198742050">
      <w:bodyDiv w:val="1"/>
      <w:marLeft w:val="0"/>
      <w:marRight w:val="0"/>
      <w:marTop w:val="0"/>
      <w:marBottom w:val="0"/>
      <w:divBdr>
        <w:top w:val="none" w:sz="0" w:space="0" w:color="auto"/>
        <w:left w:val="none" w:sz="0" w:space="0" w:color="auto"/>
        <w:bottom w:val="none" w:sz="0" w:space="0" w:color="auto"/>
        <w:right w:val="none" w:sz="0" w:space="0" w:color="auto"/>
      </w:divBdr>
    </w:div>
    <w:div w:id="1225025942">
      <w:bodyDiv w:val="1"/>
      <w:marLeft w:val="0"/>
      <w:marRight w:val="0"/>
      <w:marTop w:val="0"/>
      <w:marBottom w:val="0"/>
      <w:divBdr>
        <w:top w:val="none" w:sz="0" w:space="0" w:color="auto"/>
        <w:left w:val="none" w:sz="0" w:space="0" w:color="auto"/>
        <w:bottom w:val="none" w:sz="0" w:space="0" w:color="auto"/>
        <w:right w:val="none" w:sz="0" w:space="0" w:color="auto"/>
      </w:divBdr>
    </w:div>
    <w:div w:id="1233584249">
      <w:bodyDiv w:val="1"/>
      <w:marLeft w:val="0"/>
      <w:marRight w:val="0"/>
      <w:marTop w:val="0"/>
      <w:marBottom w:val="0"/>
      <w:divBdr>
        <w:top w:val="none" w:sz="0" w:space="0" w:color="auto"/>
        <w:left w:val="none" w:sz="0" w:space="0" w:color="auto"/>
        <w:bottom w:val="none" w:sz="0" w:space="0" w:color="auto"/>
        <w:right w:val="none" w:sz="0" w:space="0" w:color="auto"/>
      </w:divBdr>
    </w:div>
    <w:div w:id="1241521419">
      <w:bodyDiv w:val="1"/>
      <w:marLeft w:val="0"/>
      <w:marRight w:val="0"/>
      <w:marTop w:val="0"/>
      <w:marBottom w:val="0"/>
      <w:divBdr>
        <w:top w:val="none" w:sz="0" w:space="0" w:color="auto"/>
        <w:left w:val="none" w:sz="0" w:space="0" w:color="auto"/>
        <w:bottom w:val="none" w:sz="0" w:space="0" w:color="auto"/>
        <w:right w:val="none" w:sz="0" w:space="0" w:color="auto"/>
      </w:divBdr>
    </w:div>
    <w:div w:id="1293554520">
      <w:bodyDiv w:val="1"/>
      <w:marLeft w:val="0"/>
      <w:marRight w:val="0"/>
      <w:marTop w:val="0"/>
      <w:marBottom w:val="0"/>
      <w:divBdr>
        <w:top w:val="none" w:sz="0" w:space="0" w:color="auto"/>
        <w:left w:val="none" w:sz="0" w:space="0" w:color="auto"/>
        <w:bottom w:val="none" w:sz="0" w:space="0" w:color="auto"/>
        <w:right w:val="none" w:sz="0" w:space="0" w:color="auto"/>
      </w:divBdr>
    </w:div>
    <w:div w:id="1367833079">
      <w:bodyDiv w:val="1"/>
      <w:marLeft w:val="0"/>
      <w:marRight w:val="0"/>
      <w:marTop w:val="0"/>
      <w:marBottom w:val="0"/>
      <w:divBdr>
        <w:top w:val="none" w:sz="0" w:space="0" w:color="auto"/>
        <w:left w:val="none" w:sz="0" w:space="0" w:color="auto"/>
        <w:bottom w:val="none" w:sz="0" w:space="0" w:color="auto"/>
        <w:right w:val="none" w:sz="0" w:space="0" w:color="auto"/>
      </w:divBdr>
    </w:div>
    <w:div w:id="1372151772">
      <w:bodyDiv w:val="1"/>
      <w:marLeft w:val="0"/>
      <w:marRight w:val="0"/>
      <w:marTop w:val="0"/>
      <w:marBottom w:val="0"/>
      <w:divBdr>
        <w:top w:val="none" w:sz="0" w:space="0" w:color="auto"/>
        <w:left w:val="none" w:sz="0" w:space="0" w:color="auto"/>
        <w:bottom w:val="none" w:sz="0" w:space="0" w:color="auto"/>
        <w:right w:val="none" w:sz="0" w:space="0" w:color="auto"/>
      </w:divBdr>
    </w:div>
    <w:div w:id="1449353647">
      <w:bodyDiv w:val="1"/>
      <w:marLeft w:val="0"/>
      <w:marRight w:val="0"/>
      <w:marTop w:val="0"/>
      <w:marBottom w:val="0"/>
      <w:divBdr>
        <w:top w:val="none" w:sz="0" w:space="0" w:color="auto"/>
        <w:left w:val="none" w:sz="0" w:space="0" w:color="auto"/>
        <w:bottom w:val="none" w:sz="0" w:space="0" w:color="auto"/>
        <w:right w:val="none" w:sz="0" w:space="0" w:color="auto"/>
      </w:divBdr>
    </w:div>
    <w:div w:id="1503936855">
      <w:bodyDiv w:val="1"/>
      <w:marLeft w:val="0"/>
      <w:marRight w:val="0"/>
      <w:marTop w:val="0"/>
      <w:marBottom w:val="0"/>
      <w:divBdr>
        <w:top w:val="none" w:sz="0" w:space="0" w:color="auto"/>
        <w:left w:val="none" w:sz="0" w:space="0" w:color="auto"/>
        <w:bottom w:val="none" w:sz="0" w:space="0" w:color="auto"/>
        <w:right w:val="none" w:sz="0" w:space="0" w:color="auto"/>
      </w:divBdr>
    </w:div>
    <w:div w:id="1637487145">
      <w:bodyDiv w:val="1"/>
      <w:marLeft w:val="0"/>
      <w:marRight w:val="0"/>
      <w:marTop w:val="0"/>
      <w:marBottom w:val="0"/>
      <w:divBdr>
        <w:top w:val="none" w:sz="0" w:space="0" w:color="auto"/>
        <w:left w:val="none" w:sz="0" w:space="0" w:color="auto"/>
        <w:bottom w:val="none" w:sz="0" w:space="0" w:color="auto"/>
        <w:right w:val="none" w:sz="0" w:space="0" w:color="auto"/>
      </w:divBdr>
    </w:div>
    <w:div w:id="1650330743">
      <w:bodyDiv w:val="1"/>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967777366">
              <w:marLeft w:val="0"/>
              <w:marRight w:val="0"/>
              <w:marTop w:val="0"/>
              <w:marBottom w:val="0"/>
              <w:divBdr>
                <w:top w:val="none" w:sz="0" w:space="0" w:color="auto"/>
                <w:left w:val="none" w:sz="0" w:space="0" w:color="auto"/>
                <w:bottom w:val="none" w:sz="0" w:space="0" w:color="auto"/>
                <w:right w:val="none" w:sz="0" w:space="0" w:color="auto"/>
              </w:divBdr>
              <w:divsChild>
                <w:div w:id="234633101">
                  <w:marLeft w:val="0"/>
                  <w:marRight w:val="0"/>
                  <w:marTop w:val="0"/>
                  <w:marBottom w:val="0"/>
                  <w:divBdr>
                    <w:top w:val="none" w:sz="0" w:space="0" w:color="auto"/>
                    <w:left w:val="none" w:sz="0" w:space="0" w:color="auto"/>
                    <w:bottom w:val="none" w:sz="0" w:space="0" w:color="auto"/>
                    <w:right w:val="none" w:sz="0" w:space="0" w:color="auto"/>
                  </w:divBdr>
                  <w:divsChild>
                    <w:div w:id="1157302193">
                      <w:marLeft w:val="0"/>
                      <w:marRight w:val="0"/>
                      <w:marTop w:val="0"/>
                      <w:marBottom w:val="0"/>
                      <w:divBdr>
                        <w:top w:val="none" w:sz="0" w:space="0" w:color="auto"/>
                        <w:left w:val="none" w:sz="0" w:space="0" w:color="auto"/>
                        <w:bottom w:val="none" w:sz="0" w:space="0" w:color="auto"/>
                        <w:right w:val="none" w:sz="0" w:space="0" w:color="auto"/>
                      </w:divBdr>
                      <w:divsChild>
                        <w:div w:id="163133349">
                          <w:marLeft w:val="0"/>
                          <w:marRight w:val="0"/>
                          <w:marTop w:val="0"/>
                          <w:marBottom w:val="0"/>
                          <w:divBdr>
                            <w:top w:val="none" w:sz="0" w:space="0" w:color="auto"/>
                            <w:left w:val="none" w:sz="0" w:space="0" w:color="auto"/>
                            <w:bottom w:val="none" w:sz="0" w:space="0" w:color="auto"/>
                            <w:right w:val="none" w:sz="0" w:space="0" w:color="auto"/>
                          </w:divBdr>
                          <w:divsChild>
                            <w:div w:id="479080648">
                              <w:marLeft w:val="0"/>
                              <w:marRight w:val="0"/>
                              <w:marTop w:val="0"/>
                              <w:marBottom w:val="0"/>
                              <w:divBdr>
                                <w:top w:val="none" w:sz="0" w:space="0" w:color="auto"/>
                                <w:left w:val="none" w:sz="0" w:space="0" w:color="auto"/>
                                <w:bottom w:val="none" w:sz="0" w:space="0" w:color="auto"/>
                                <w:right w:val="none" w:sz="0" w:space="0" w:color="auto"/>
                              </w:divBdr>
                              <w:divsChild>
                                <w:div w:id="1123572246">
                                  <w:marLeft w:val="0"/>
                                  <w:marRight w:val="0"/>
                                  <w:marTop w:val="0"/>
                                  <w:marBottom w:val="0"/>
                                  <w:divBdr>
                                    <w:top w:val="none" w:sz="0" w:space="0" w:color="auto"/>
                                    <w:left w:val="none" w:sz="0" w:space="0" w:color="auto"/>
                                    <w:bottom w:val="none" w:sz="0" w:space="0" w:color="auto"/>
                                    <w:right w:val="none" w:sz="0" w:space="0" w:color="auto"/>
                                  </w:divBdr>
                                  <w:divsChild>
                                    <w:div w:id="1130631431">
                                      <w:marLeft w:val="0"/>
                                      <w:marRight w:val="0"/>
                                      <w:marTop w:val="0"/>
                                      <w:marBottom w:val="0"/>
                                      <w:divBdr>
                                        <w:top w:val="none" w:sz="0" w:space="0" w:color="auto"/>
                                        <w:left w:val="none" w:sz="0" w:space="0" w:color="auto"/>
                                        <w:bottom w:val="none" w:sz="0" w:space="0" w:color="auto"/>
                                        <w:right w:val="none" w:sz="0" w:space="0" w:color="auto"/>
                                      </w:divBdr>
                                      <w:divsChild>
                                        <w:div w:id="1437679045">
                                          <w:marLeft w:val="0"/>
                                          <w:marRight w:val="0"/>
                                          <w:marTop w:val="0"/>
                                          <w:marBottom w:val="0"/>
                                          <w:divBdr>
                                            <w:top w:val="none" w:sz="0" w:space="0" w:color="auto"/>
                                            <w:left w:val="none" w:sz="0" w:space="0" w:color="auto"/>
                                            <w:bottom w:val="none" w:sz="0" w:space="0" w:color="auto"/>
                                            <w:right w:val="none" w:sz="0" w:space="0" w:color="auto"/>
                                          </w:divBdr>
                                          <w:divsChild>
                                            <w:div w:id="29453091">
                                              <w:marLeft w:val="720"/>
                                              <w:marRight w:val="0"/>
                                              <w:marTop w:val="0"/>
                                              <w:marBottom w:val="0"/>
                                              <w:divBdr>
                                                <w:top w:val="none" w:sz="0" w:space="0" w:color="auto"/>
                                                <w:left w:val="none" w:sz="0" w:space="0" w:color="auto"/>
                                                <w:bottom w:val="none" w:sz="0" w:space="0" w:color="auto"/>
                                                <w:right w:val="none" w:sz="0" w:space="0" w:color="auto"/>
                                              </w:divBdr>
                                            </w:div>
                                            <w:div w:id="29572699">
                                              <w:marLeft w:val="0"/>
                                              <w:marRight w:val="0"/>
                                              <w:marTop w:val="0"/>
                                              <w:marBottom w:val="0"/>
                                              <w:divBdr>
                                                <w:top w:val="none" w:sz="0" w:space="0" w:color="auto"/>
                                                <w:left w:val="none" w:sz="0" w:space="0" w:color="auto"/>
                                                <w:bottom w:val="none" w:sz="0" w:space="0" w:color="auto"/>
                                                <w:right w:val="none" w:sz="0" w:space="0" w:color="auto"/>
                                              </w:divBdr>
                                            </w:div>
                                            <w:div w:id="110126220">
                                              <w:marLeft w:val="0"/>
                                              <w:marRight w:val="0"/>
                                              <w:marTop w:val="0"/>
                                              <w:marBottom w:val="0"/>
                                              <w:divBdr>
                                                <w:top w:val="none" w:sz="0" w:space="0" w:color="auto"/>
                                                <w:left w:val="none" w:sz="0" w:space="0" w:color="auto"/>
                                                <w:bottom w:val="none" w:sz="0" w:space="0" w:color="auto"/>
                                                <w:right w:val="none" w:sz="0" w:space="0" w:color="auto"/>
                                              </w:divBdr>
                                            </w:div>
                                            <w:div w:id="110903670">
                                              <w:marLeft w:val="720"/>
                                              <w:marRight w:val="0"/>
                                              <w:marTop w:val="0"/>
                                              <w:marBottom w:val="0"/>
                                              <w:divBdr>
                                                <w:top w:val="none" w:sz="0" w:space="0" w:color="auto"/>
                                                <w:left w:val="none" w:sz="0" w:space="0" w:color="auto"/>
                                                <w:bottom w:val="none" w:sz="0" w:space="0" w:color="auto"/>
                                                <w:right w:val="none" w:sz="0" w:space="0" w:color="auto"/>
                                              </w:divBdr>
                                            </w:div>
                                            <w:div w:id="112677809">
                                              <w:marLeft w:val="720"/>
                                              <w:marRight w:val="0"/>
                                              <w:marTop w:val="0"/>
                                              <w:marBottom w:val="0"/>
                                              <w:divBdr>
                                                <w:top w:val="none" w:sz="0" w:space="0" w:color="auto"/>
                                                <w:left w:val="none" w:sz="0" w:space="0" w:color="auto"/>
                                                <w:bottom w:val="none" w:sz="0" w:space="0" w:color="auto"/>
                                                <w:right w:val="none" w:sz="0" w:space="0" w:color="auto"/>
                                              </w:divBdr>
                                            </w:div>
                                            <w:div w:id="137693081">
                                              <w:marLeft w:val="0"/>
                                              <w:marRight w:val="0"/>
                                              <w:marTop w:val="0"/>
                                              <w:marBottom w:val="0"/>
                                              <w:divBdr>
                                                <w:top w:val="none" w:sz="0" w:space="0" w:color="auto"/>
                                                <w:left w:val="none" w:sz="0" w:space="0" w:color="auto"/>
                                                <w:bottom w:val="none" w:sz="0" w:space="0" w:color="auto"/>
                                                <w:right w:val="none" w:sz="0" w:space="0" w:color="auto"/>
                                              </w:divBdr>
                                            </w:div>
                                            <w:div w:id="152457546">
                                              <w:marLeft w:val="720"/>
                                              <w:marRight w:val="0"/>
                                              <w:marTop w:val="0"/>
                                              <w:marBottom w:val="0"/>
                                              <w:divBdr>
                                                <w:top w:val="none" w:sz="0" w:space="0" w:color="auto"/>
                                                <w:left w:val="none" w:sz="0" w:space="0" w:color="auto"/>
                                                <w:bottom w:val="none" w:sz="0" w:space="0" w:color="auto"/>
                                                <w:right w:val="none" w:sz="0" w:space="0" w:color="auto"/>
                                              </w:divBdr>
                                            </w:div>
                                            <w:div w:id="181626829">
                                              <w:marLeft w:val="720"/>
                                              <w:marRight w:val="0"/>
                                              <w:marTop w:val="0"/>
                                              <w:marBottom w:val="0"/>
                                              <w:divBdr>
                                                <w:top w:val="none" w:sz="0" w:space="0" w:color="auto"/>
                                                <w:left w:val="none" w:sz="0" w:space="0" w:color="auto"/>
                                                <w:bottom w:val="none" w:sz="0" w:space="0" w:color="auto"/>
                                                <w:right w:val="none" w:sz="0" w:space="0" w:color="auto"/>
                                              </w:divBdr>
                                            </w:div>
                                            <w:div w:id="199516667">
                                              <w:marLeft w:val="720"/>
                                              <w:marRight w:val="0"/>
                                              <w:marTop w:val="0"/>
                                              <w:marBottom w:val="0"/>
                                              <w:divBdr>
                                                <w:top w:val="none" w:sz="0" w:space="0" w:color="auto"/>
                                                <w:left w:val="none" w:sz="0" w:space="0" w:color="auto"/>
                                                <w:bottom w:val="none" w:sz="0" w:space="0" w:color="auto"/>
                                                <w:right w:val="none" w:sz="0" w:space="0" w:color="auto"/>
                                              </w:divBdr>
                                            </w:div>
                                            <w:div w:id="261959780">
                                              <w:marLeft w:val="720"/>
                                              <w:marRight w:val="0"/>
                                              <w:marTop w:val="0"/>
                                              <w:marBottom w:val="0"/>
                                              <w:divBdr>
                                                <w:top w:val="none" w:sz="0" w:space="0" w:color="auto"/>
                                                <w:left w:val="none" w:sz="0" w:space="0" w:color="auto"/>
                                                <w:bottom w:val="none" w:sz="0" w:space="0" w:color="auto"/>
                                                <w:right w:val="none" w:sz="0" w:space="0" w:color="auto"/>
                                              </w:divBdr>
                                            </w:div>
                                            <w:div w:id="273949514">
                                              <w:marLeft w:val="720"/>
                                              <w:marRight w:val="0"/>
                                              <w:marTop w:val="0"/>
                                              <w:marBottom w:val="0"/>
                                              <w:divBdr>
                                                <w:top w:val="none" w:sz="0" w:space="0" w:color="auto"/>
                                                <w:left w:val="none" w:sz="0" w:space="0" w:color="auto"/>
                                                <w:bottom w:val="none" w:sz="0" w:space="0" w:color="auto"/>
                                                <w:right w:val="none" w:sz="0" w:space="0" w:color="auto"/>
                                              </w:divBdr>
                                            </w:div>
                                            <w:div w:id="294876602">
                                              <w:marLeft w:val="720"/>
                                              <w:marRight w:val="0"/>
                                              <w:marTop w:val="0"/>
                                              <w:marBottom w:val="0"/>
                                              <w:divBdr>
                                                <w:top w:val="none" w:sz="0" w:space="0" w:color="auto"/>
                                                <w:left w:val="none" w:sz="0" w:space="0" w:color="auto"/>
                                                <w:bottom w:val="none" w:sz="0" w:space="0" w:color="auto"/>
                                                <w:right w:val="none" w:sz="0" w:space="0" w:color="auto"/>
                                              </w:divBdr>
                                            </w:div>
                                            <w:div w:id="305670462">
                                              <w:marLeft w:val="0"/>
                                              <w:marRight w:val="0"/>
                                              <w:marTop w:val="0"/>
                                              <w:marBottom w:val="0"/>
                                              <w:divBdr>
                                                <w:top w:val="none" w:sz="0" w:space="0" w:color="auto"/>
                                                <w:left w:val="none" w:sz="0" w:space="0" w:color="auto"/>
                                                <w:bottom w:val="none" w:sz="0" w:space="0" w:color="auto"/>
                                                <w:right w:val="none" w:sz="0" w:space="0" w:color="auto"/>
                                              </w:divBdr>
                                            </w:div>
                                            <w:div w:id="307520157">
                                              <w:marLeft w:val="720"/>
                                              <w:marRight w:val="0"/>
                                              <w:marTop w:val="0"/>
                                              <w:marBottom w:val="0"/>
                                              <w:divBdr>
                                                <w:top w:val="none" w:sz="0" w:space="0" w:color="auto"/>
                                                <w:left w:val="none" w:sz="0" w:space="0" w:color="auto"/>
                                                <w:bottom w:val="none" w:sz="0" w:space="0" w:color="auto"/>
                                                <w:right w:val="none" w:sz="0" w:space="0" w:color="auto"/>
                                              </w:divBdr>
                                            </w:div>
                                            <w:div w:id="313066692">
                                              <w:marLeft w:val="0"/>
                                              <w:marRight w:val="0"/>
                                              <w:marTop w:val="0"/>
                                              <w:marBottom w:val="0"/>
                                              <w:divBdr>
                                                <w:top w:val="none" w:sz="0" w:space="0" w:color="auto"/>
                                                <w:left w:val="none" w:sz="0" w:space="0" w:color="auto"/>
                                                <w:bottom w:val="none" w:sz="0" w:space="0" w:color="auto"/>
                                                <w:right w:val="none" w:sz="0" w:space="0" w:color="auto"/>
                                              </w:divBdr>
                                            </w:div>
                                            <w:div w:id="337780966">
                                              <w:marLeft w:val="0"/>
                                              <w:marRight w:val="0"/>
                                              <w:marTop w:val="0"/>
                                              <w:marBottom w:val="0"/>
                                              <w:divBdr>
                                                <w:top w:val="none" w:sz="0" w:space="0" w:color="auto"/>
                                                <w:left w:val="none" w:sz="0" w:space="0" w:color="auto"/>
                                                <w:bottom w:val="none" w:sz="0" w:space="0" w:color="auto"/>
                                                <w:right w:val="none" w:sz="0" w:space="0" w:color="auto"/>
                                              </w:divBdr>
                                            </w:div>
                                            <w:div w:id="342972526">
                                              <w:marLeft w:val="0"/>
                                              <w:marRight w:val="0"/>
                                              <w:marTop w:val="0"/>
                                              <w:marBottom w:val="0"/>
                                              <w:divBdr>
                                                <w:top w:val="none" w:sz="0" w:space="0" w:color="auto"/>
                                                <w:left w:val="none" w:sz="0" w:space="0" w:color="auto"/>
                                                <w:bottom w:val="none" w:sz="0" w:space="0" w:color="auto"/>
                                                <w:right w:val="none" w:sz="0" w:space="0" w:color="auto"/>
                                              </w:divBdr>
                                            </w:div>
                                            <w:div w:id="384910338">
                                              <w:marLeft w:val="0"/>
                                              <w:marRight w:val="0"/>
                                              <w:marTop w:val="0"/>
                                              <w:marBottom w:val="0"/>
                                              <w:divBdr>
                                                <w:top w:val="none" w:sz="0" w:space="0" w:color="auto"/>
                                                <w:left w:val="none" w:sz="0" w:space="0" w:color="auto"/>
                                                <w:bottom w:val="none" w:sz="0" w:space="0" w:color="auto"/>
                                                <w:right w:val="none" w:sz="0" w:space="0" w:color="auto"/>
                                              </w:divBdr>
                                            </w:div>
                                            <w:div w:id="401610036">
                                              <w:marLeft w:val="720"/>
                                              <w:marRight w:val="0"/>
                                              <w:marTop w:val="0"/>
                                              <w:marBottom w:val="0"/>
                                              <w:divBdr>
                                                <w:top w:val="none" w:sz="0" w:space="0" w:color="auto"/>
                                                <w:left w:val="none" w:sz="0" w:space="0" w:color="auto"/>
                                                <w:bottom w:val="none" w:sz="0" w:space="0" w:color="auto"/>
                                                <w:right w:val="none" w:sz="0" w:space="0" w:color="auto"/>
                                              </w:divBdr>
                                            </w:div>
                                            <w:div w:id="427510123">
                                              <w:marLeft w:val="0"/>
                                              <w:marRight w:val="0"/>
                                              <w:marTop w:val="0"/>
                                              <w:marBottom w:val="0"/>
                                              <w:divBdr>
                                                <w:top w:val="none" w:sz="0" w:space="0" w:color="auto"/>
                                                <w:left w:val="none" w:sz="0" w:space="0" w:color="auto"/>
                                                <w:bottom w:val="none" w:sz="0" w:space="0" w:color="auto"/>
                                                <w:right w:val="none" w:sz="0" w:space="0" w:color="auto"/>
                                              </w:divBdr>
                                            </w:div>
                                            <w:div w:id="459106513">
                                              <w:marLeft w:val="0"/>
                                              <w:marRight w:val="0"/>
                                              <w:marTop w:val="0"/>
                                              <w:marBottom w:val="0"/>
                                              <w:divBdr>
                                                <w:top w:val="none" w:sz="0" w:space="0" w:color="auto"/>
                                                <w:left w:val="none" w:sz="0" w:space="0" w:color="auto"/>
                                                <w:bottom w:val="none" w:sz="0" w:space="0" w:color="auto"/>
                                                <w:right w:val="none" w:sz="0" w:space="0" w:color="auto"/>
                                              </w:divBdr>
                                            </w:div>
                                            <w:div w:id="497959167">
                                              <w:marLeft w:val="0"/>
                                              <w:marRight w:val="0"/>
                                              <w:marTop w:val="0"/>
                                              <w:marBottom w:val="0"/>
                                              <w:divBdr>
                                                <w:top w:val="none" w:sz="0" w:space="0" w:color="auto"/>
                                                <w:left w:val="none" w:sz="0" w:space="0" w:color="auto"/>
                                                <w:bottom w:val="none" w:sz="0" w:space="0" w:color="auto"/>
                                                <w:right w:val="none" w:sz="0" w:space="0" w:color="auto"/>
                                              </w:divBdr>
                                            </w:div>
                                            <w:div w:id="505562051">
                                              <w:marLeft w:val="720"/>
                                              <w:marRight w:val="0"/>
                                              <w:marTop w:val="0"/>
                                              <w:marBottom w:val="0"/>
                                              <w:divBdr>
                                                <w:top w:val="none" w:sz="0" w:space="0" w:color="auto"/>
                                                <w:left w:val="none" w:sz="0" w:space="0" w:color="auto"/>
                                                <w:bottom w:val="none" w:sz="0" w:space="0" w:color="auto"/>
                                                <w:right w:val="none" w:sz="0" w:space="0" w:color="auto"/>
                                              </w:divBdr>
                                            </w:div>
                                            <w:div w:id="522985852">
                                              <w:marLeft w:val="0"/>
                                              <w:marRight w:val="0"/>
                                              <w:marTop w:val="0"/>
                                              <w:marBottom w:val="0"/>
                                              <w:divBdr>
                                                <w:top w:val="none" w:sz="0" w:space="0" w:color="auto"/>
                                                <w:left w:val="none" w:sz="0" w:space="0" w:color="auto"/>
                                                <w:bottom w:val="none" w:sz="0" w:space="0" w:color="auto"/>
                                                <w:right w:val="none" w:sz="0" w:space="0" w:color="auto"/>
                                              </w:divBdr>
                                            </w:div>
                                            <w:div w:id="559482487">
                                              <w:marLeft w:val="0"/>
                                              <w:marRight w:val="0"/>
                                              <w:marTop w:val="0"/>
                                              <w:marBottom w:val="0"/>
                                              <w:divBdr>
                                                <w:top w:val="none" w:sz="0" w:space="0" w:color="auto"/>
                                                <w:left w:val="none" w:sz="0" w:space="0" w:color="auto"/>
                                                <w:bottom w:val="none" w:sz="0" w:space="0" w:color="auto"/>
                                                <w:right w:val="none" w:sz="0" w:space="0" w:color="auto"/>
                                              </w:divBdr>
                                            </w:div>
                                            <w:div w:id="604460976">
                                              <w:marLeft w:val="720"/>
                                              <w:marRight w:val="0"/>
                                              <w:marTop w:val="0"/>
                                              <w:marBottom w:val="0"/>
                                              <w:divBdr>
                                                <w:top w:val="none" w:sz="0" w:space="0" w:color="auto"/>
                                                <w:left w:val="none" w:sz="0" w:space="0" w:color="auto"/>
                                                <w:bottom w:val="none" w:sz="0" w:space="0" w:color="auto"/>
                                                <w:right w:val="none" w:sz="0" w:space="0" w:color="auto"/>
                                              </w:divBdr>
                                            </w:div>
                                            <w:div w:id="666326654">
                                              <w:marLeft w:val="720"/>
                                              <w:marRight w:val="0"/>
                                              <w:marTop w:val="0"/>
                                              <w:marBottom w:val="0"/>
                                              <w:divBdr>
                                                <w:top w:val="none" w:sz="0" w:space="0" w:color="auto"/>
                                                <w:left w:val="none" w:sz="0" w:space="0" w:color="auto"/>
                                                <w:bottom w:val="none" w:sz="0" w:space="0" w:color="auto"/>
                                                <w:right w:val="none" w:sz="0" w:space="0" w:color="auto"/>
                                              </w:divBdr>
                                            </w:div>
                                            <w:div w:id="670647655">
                                              <w:marLeft w:val="0"/>
                                              <w:marRight w:val="0"/>
                                              <w:marTop w:val="0"/>
                                              <w:marBottom w:val="0"/>
                                              <w:divBdr>
                                                <w:top w:val="none" w:sz="0" w:space="0" w:color="auto"/>
                                                <w:left w:val="none" w:sz="0" w:space="0" w:color="auto"/>
                                                <w:bottom w:val="none" w:sz="0" w:space="0" w:color="auto"/>
                                                <w:right w:val="none" w:sz="0" w:space="0" w:color="auto"/>
                                              </w:divBdr>
                                            </w:div>
                                            <w:div w:id="685644204">
                                              <w:marLeft w:val="0"/>
                                              <w:marRight w:val="0"/>
                                              <w:marTop w:val="0"/>
                                              <w:marBottom w:val="0"/>
                                              <w:divBdr>
                                                <w:top w:val="none" w:sz="0" w:space="0" w:color="auto"/>
                                                <w:left w:val="none" w:sz="0" w:space="0" w:color="auto"/>
                                                <w:bottom w:val="none" w:sz="0" w:space="0" w:color="auto"/>
                                                <w:right w:val="none" w:sz="0" w:space="0" w:color="auto"/>
                                              </w:divBdr>
                                            </w:div>
                                            <w:div w:id="697858137">
                                              <w:marLeft w:val="720"/>
                                              <w:marRight w:val="0"/>
                                              <w:marTop w:val="0"/>
                                              <w:marBottom w:val="0"/>
                                              <w:divBdr>
                                                <w:top w:val="none" w:sz="0" w:space="0" w:color="auto"/>
                                                <w:left w:val="none" w:sz="0" w:space="0" w:color="auto"/>
                                                <w:bottom w:val="none" w:sz="0" w:space="0" w:color="auto"/>
                                                <w:right w:val="none" w:sz="0" w:space="0" w:color="auto"/>
                                              </w:divBdr>
                                            </w:div>
                                            <w:div w:id="699470908">
                                              <w:marLeft w:val="0"/>
                                              <w:marRight w:val="0"/>
                                              <w:marTop w:val="0"/>
                                              <w:marBottom w:val="0"/>
                                              <w:divBdr>
                                                <w:top w:val="none" w:sz="0" w:space="0" w:color="auto"/>
                                                <w:left w:val="none" w:sz="0" w:space="0" w:color="auto"/>
                                                <w:bottom w:val="none" w:sz="0" w:space="0" w:color="auto"/>
                                                <w:right w:val="none" w:sz="0" w:space="0" w:color="auto"/>
                                              </w:divBdr>
                                            </w:div>
                                            <w:div w:id="752504985">
                                              <w:marLeft w:val="720"/>
                                              <w:marRight w:val="0"/>
                                              <w:marTop w:val="0"/>
                                              <w:marBottom w:val="0"/>
                                              <w:divBdr>
                                                <w:top w:val="none" w:sz="0" w:space="0" w:color="auto"/>
                                                <w:left w:val="none" w:sz="0" w:space="0" w:color="auto"/>
                                                <w:bottom w:val="none" w:sz="0" w:space="0" w:color="auto"/>
                                                <w:right w:val="none" w:sz="0" w:space="0" w:color="auto"/>
                                              </w:divBdr>
                                            </w:div>
                                            <w:div w:id="791948289">
                                              <w:marLeft w:val="0"/>
                                              <w:marRight w:val="0"/>
                                              <w:marTop w:val="0"/>
                                              <w:marBottom w:val="0"/>
                                              <w:divBdr>
                                                <w:top w:val="none" w:sz="0" w:space="0" w:color="auto"/>
                                                <w:left w:val="none" w:sz="0" w:space="0" w:color="auto"/>
                                                <w:bottom w:val="none" w:sz="0" w:space="0" w:color="auto"/>
                                                <w:right w:val="none" w:sz="0" w:space="0" w:color="auto"/>
                                              </w:divBdr>
                                            </w:div>
                                            <w:div w:id="815873314">
                                              <w:marLeft w:val="0"/>
                                              <w:marRight w:val="0"/>
                                              <w:marTop w:val="0"/>
                                              <w:marBottom w:val="0"/>
                                              <w:divBdr>
                                                <w:top w:val="none" w:sz="0" w:space="0" w:color="auto"/>
                                                <w:left w:val="none" w:sz="0" w:space="0" w:color="auto"/>
                                                <w:bottom w:val="none" w:sz="0" w:space="0" w:color="auto"/>
                                                <w:right w:val="none" w:sz="0" w:space="0" w:color="auto"/>
                                              </w:divBdr>
                                            </w:div>
                                            <w:div w:id="832839265">
                                              <w:marLeft w:val="720"/>
                                              <w:marRight w:val="0"/>
                                              <w:marTop w:val="0"/>
                                              <w:marBottom w:val="0"/>
                                              <w:divBdr>
                                                <w:top w:val="none" w:sz="0" w:space="0" w:color="auto"/>
                                                <w:left w:val="none" w:sz="0" w:space="0" w:color="auto"/>
                                                <w:bottom w:val="none" w:sz="0" w:space="0" w:color="auto"/>
                                                <w:right w:val="none" w:sz="0" w:space="0" w:color="auto"/>
                                              </w:divBdr>
                                            </w:div>
                                            <w:div w:id="930746405">
                                              <w:marLeft w:val="720"/>
                                              <w:marRight w:val="0"/>
                                              <w:marTop w:val="0"/>
                                              <w:marBottom w:val="0"/>
                                              <w:divBdr>
                                                <w:top w:val="none" w:sz="0" w:space="0" w:color="auto"/>
                                                <w:left w:val="none" w:sz="0" w:space="0" w:color="auto"/>
                                                <w:bottom w:val="none" w:sz="0" w:space="0" w:color="auto"/>
                                                <w:right w:val="none" w:sz="0" w:space="0" w:color="auto"/>
                                              </w:divBdr>
                                            </w:div>
                                            <w:div w:id="989334371">
                                              <w:marLeft w:val="720"/>
                                              <w:marRight w:val="0"/>
                                              <w:marTop w:val="0"/>
                                              <w:marBottom w:val="0"/>
                                              <w:divBdr>
                                                <w:top w:val="none" w:sz="0" w:space="0" w:color="auto"/>
                                                <w:left w:val="none" w:sz="0" w:space="0" w:color="auto"/>
                                                <w:bottom w:val="none" w:sz="0" w:space="0" w:color="auto"/>
                                                <w:right w:val="none" w:sz="0" w:space="0" w:color="auto"/>
                                              </w:divBdr>
                                            </w:div>
                                            <w:div w:id="989791955">
                                              <w:marLeft w:val="0"/>
                                              <w:marRight w:val="0"/>
                                              <w:marTop w:val="0"/>
                                              <w:marBottom w:val="0"/>
                                              <w:divBdr>
                                                <w:top w:val="none" w:sz="0" w:space="0" w:color="auto"/>
                                                <w:left w:val="none" w:sz="0" w:space="0" w:color="auto"/>
                                                <w:bottom w:val="none" w:sz="0" w:space="0" w:color="auto"/>
                                                <w:right w:val="none" w:sz="0" w:space="0" w:color="auto"/>
                                              </w:divBdr>
                                            </w:div>
                                            <w:div w:id="1010524961">
                                              <w:marLeft w:val="0"/>
                                              <w:marRight w:val="0"/>
                                              <w:marTop w:val="0"/>
                                              <w:marBottom w:val="0"/>
                                              <w:divBdr>
                                                <w:top w:val="none" w:sz="0" w:space="0" w:color="auto"/>
                                                <w:left w:val="none" w:sz="0" w:space="0" w:color="auto"/>
                                                <w:bottom w:val="none" w:sz="0" w:space="0" w:color="auto"/>
                                                <w:right w:val="none" w:sz="0" w:space="0" w:color="auto"/>
                                              </w:divBdr>
                                            </w:div>
                                            <w:div w:id="1034958705">
                                              <w:marLeft w:val="720"/>
                                              <w:marRight w:val="0"/>
                                              <w:marTop w:val="0"/>
                                              <w:marBottom w:val="0"/>
                                              <w:divBdr>
                                                <w:top w:val="none" w:sz="0" w:space="0" w:color="auto"/>
                                                <w:left w:val="none" w:sz="0" w:space="0" w:color="auto"/>
                                                <w:bottom w:val="none" w:sz="0" w:space="0" w:color="auto"/>
                                                <w:right w:val="none" w:sz="0" w:space="0" w:color="auto"/>
                                              </w:divBdr>
                                            </w:div>
                                            <w:div w:id="1088042177">
                                              <w:marLeft w:val="0"/>
                                              <w:marRight w:val="0"/>
                                              <w:marTop w:val="0"/>
                                              <w:marBottom w:val="0"/>
                                              <w:divBdr>
                                                <w:top w:val="none" w:sz="0" w:space="0" w:color="auto"/>
                                                <w:left w:val="none" w:sz="0" w:space="0" w:color="auto"/>
                                                <w:bottom w:val="none" w:sz="0" w:space="0" w:color="auto"/>
                                                <w:right w:val="none" w:sz="0" w:space="0" w:color="auto"/>
                                              </w:divBdr>
                                            </w:div>
                                            <w:div w:id="1104377005">
                                              <w:marLeft w:val="720"/>
                                              <w:marRight w:val="0"/>
                                              <w:marTop w:val="0"/>
                                              <w:marBottom w:val="0"/>
                                              <w:divBdr>
                                                <w:top w:val="none" w:sz="0" w:space="0" w:color="auto"/>
                                                <w:left w:val="none" w:sz="0" w:space="0" w:color="auto"/>
                                                <w:bottom w:val="none" w:sz="0" w:space="0" w:color="auto"/>
                                                <w:right w:val="none" w:sz="0" w:space="0" w:color="auto"/>
                                              </w:divBdr>
                                            </w:div>
                                            <w:div w:id="1134298555">
                                              <w:marLeft w:val="720"/>
                                              <w:marRight w:val="0"/>
                                              <w:marTop w:val="0"/>
                                              <w:marBottom w:val="0"/>
                                              <w:divBdr>
                                                <w:top w:val="none" w:sz="0" w:space="0" w:color="auto"/>
                                                <w:left w:val="none" w:sz="0" w:space="0" w:color="auto"/>
                                                <w:bottom w:val="none" w:sz="0" w:space="0" w:color="auto"/>
                                                <w:right w:val="none" w:sz="0" w:space="0" w:color="auto"/>
                                              </w:divBdr>
                                            </w:div>
                                            <w:div w:id="1142576560">
                                              <w:marLeft w:val="0"/>
                                              <w:marRight w:val="0"/>
                                              <w:marTop w:val="0"/>
                                              <w:marBottom w:val="0"/>
                                              <w:divBdr>
                                                <w:top w:val="none" w:sz="0" w:space="0" w:color="auto"/>
                                                <w:left w:val="none" w:sz="0" w:space="0" w:color="auto"/>
                                                <w:bottom w:val="none" w:sz="0" w:space="0" w:color="auto"/>
                                                <w:right w:val="none" w:sz="0" w:space="0" w:color="auto"/>
                                              </w:divBdr>
                                            </w:div>
                                            <w:div w:id="1146165262">
                                              <w:marLeft w:val="0"/>
                                              <w:marRight w:val="0"/>
                                              <w:marTop w:val="0"/>
                                              <w:marBottom w:val="0"/>
                                              <w:divBdr>
                                                <w:top w:val="none" w:sz="0" w:space="0" w:color="auto"/>
                                                <w:left w:val="none" w:sz="0" w:space="0" w:color="auto"/>
                                                <w:bottom w:val="none" w:sz="0" w:space="0" w:color="auto"/>
                                                <w:right w:val="none" w:sz="0" w:space="0" w:color="auto"/>
                                              </w:divBdr>
                                            </w:div>
                                            <w:div w:id="1165512901">
                                              <w:marLeft w:val="0"/>
                                              <w:marRight w:val="0"/>
                                              <w:marTop w:val="0"/>
                                              <w:marBottom w:val="0"/>
                                              <w:divBdr>
                                                <w:top w:val="none" w:sz="0" w:space="0" w:color="auto"/>
                                                <w:left w:val="none" w:sz="0" w:space="0" w:color="auto"/>
                                                <w:bottom w:val="none" w:sz="0" w:space="0" w:color="auto"/>
                                                <w:right w:val="none" w:sz="0" w:space="0" w:color="auto"/>
                                              </w:divBdr>
                                            </w:div>
                                            <w:div w:id="1182359124">
                                              <w:marLeft w:val="720"/>
                                              <w:marRight w:val="0"/>
                                              <w:marTop w:val="0"/>
                                              <w:marBottom w:val="0"/>
                                              <w:divBdr>
                                                <w:top w:val="none" w:sz="0" w:space="0" w:color="auto"/>
                                                <w:left w:val="none" w:sz="0" w:space="0" w:color="auto"/>
                                                <w:bottom w:val="none" w:sz="0" w:space="0" w:color="auto"/>
                                                <w:right w:val="none" w:sz="0" w:space="0" w:color="auto"/>
                                              </w:divBdr>
                                            </w:div>
                                            <w:div w:id="1217811870">
                                              <w:marLeft w:val="720"/>
                                              <w:marRight w:val="0"/>
                                              <w:marTop w:val="0"/>
                                              <w:marBottom w:val="0"/>
                                              <w:divBdr>
                                                <w:top w:val="none" w:sz="0" w:space="0" w:color="auto"/>
                                                <w:left w:val="none" w:sz="0" w:space="0" w:color="auto"/>
                                                <w:bottom w:val="none" w:sz="0" w:space="0" w:color="auto"/>
                                                <w:right w:val="none" w:sz="0" w:space="0" w:color="auto"/>
                                              </w:divBdr>
                                            </w:div>
                                            <w:div w:id="1237931515">
                                              <w:marLeft w:val="0"/>
                                              <w:marRight w:val="0"/>
                                              <w:marTop w:val="0"/>
                                              <w:marBottom w:val="0"/>
                                              <w:divBdr>
                                                <w:top w:val="none" w:sz="0" w:space="0" w:color="auto"/>
                                                <w:left w:val="none" w:sz="0" w:space="0" w:color="auto"/>
                                                <w:bottom w:val="none" w:sz="0" w:space="0" w:color="auto"/>
                                                <w:right w:val="none" w:sz="0" w:space="0" w:color="auto"/>
                                              </w:divBdr>
                                            </w:div>
                                            <w:div w:id="1259370982">
                                              <w:marLeft w:val="720"/>
                                              <w:marRight w:val="0"/>
                                              <w:marTop w:val="0"/>
                                              <w:marBottom w:val="0"/>
                                              <w:divBdr>
                                                <w:top w:val="none" w:sz="0" w:space="0" w:color="auto"/>
                                                <w:left w:val="none" w:sz="0" w:space="0" w:color="auto"/>
                                                <w:bottom w:val="none" w:sz="0" w:space="0" w:color="auto"/>
                                                <w:right w:val="none" w:sz="0" w:space="0" w:color="auto"/>
                                              </w:divBdr>
                                            </w:div>
                                            <w:div w:id="1262106543">
                                              <w:marLeft w:val="0"/>
                                              <w:marRight w:val="0"/>
                                              <w:marTop w:val="0"/>
                                              <w:marBottom w:val="0"/>
                                              <w:divBdr>
                                                <w:top w:val="none" w:sz="0" w:space="0" w:color="auto"/>
                                                <w:left w:val="none" w:sz="0" w:space="0" w:color="auto"/>
                                                <w:bottom w:val="none" w:sz="0" w:space="0" w:color="auto"/>
                                                <w:right w:val="none" w:sz="0" w:space="0" w:color="auto"/>
                                              </w:divBdr>
                                            </w:div>
                                            <w:div w:id="1265264987">
                                              <w:marLeft w:val="0"/>
                                              <w:marRight w:val="0"/>
                                              <w:marTop w:val="0"/>
                                              <w:marBottom w:val="0"/>
                                              <w:divBdr>
                                                <w:top w:val="none" w:sz="0" w:space="0" w:color="auto"/>
                                                <w:left w:val="none" w:sz="0" w:space="0" w:color="auto"/>
                                                <w:bottom w:val="none" w:sz="0" w:space="0" w:color="auto"/>
                                                <w:right w:val="none" w:sz="0" w:space="0" w:color="auto"/>
                                              </w:divBdr>
                                            </w:div>
                                            <w:div w:id="1310130366">
                                              <w:marLeft w:val="720"/>
                                              <w:marRight w:val="0"/>
                                              <w:marTop w:val="0"/>
                                              <w:marBottom w:val="0"/>
                                              <w:divBdr>
                                                <w:top w:val="none" w:sz="0" w:space="0" w:color="auto"/>
                                                <w:left w:val="none" w:sz="0" w:space="0" w:color="auto"/>
                                                <w:bottom w:val="none" w:sz="0" w:space="0" w:color="auto"/>
                                                <w:right w:val="none" w:sz="0" w:space="0" w:color="auto"/>
                                              </w:divBdr>
                                            </w:div>
                                            <w:div w:id="1327634235">
                                              <w:marLeft w:val="720"/>
                                              <w:marRight w:val="0"/>
                                              <w:marTop w:val="0"/>
                                              <w:marBottom w:val="0"/>
                                              <w:divBdr>
                                                <w:top w:val="none" w:sz="0" w:space="0" w:color="auto"/>
                                                <w:left w:val="none" w:sz="0" w:space="0" w:color="auto"/>
                                                <w:bottom w:val="none" w:sz="0" w:space="0" w:color="auto"/>
                                                <w:right w:val="none" w:sz="0" w:space="0" w:color="auto"/>
                                              </w:divBdr>
                                            </w:div>
                                            <w:div w:id="1333223453">
                                              <w:marLeft w:val="720"/>
                                              <w:marRight w:val="0"/>
                                              <w:marTop w:val="0"/>
                                              <w:marBottom w:val="0"/>
                                              <w:divBdr>
                                                <w:top w:val="none" w:sz="0" w:space="0" w:color="auto"/>
                                                <w:left w:val="none" w:sz="0" w:space="0" w:color="auto"/>
                                                <w:bottom w:val="none" w:sz="0" w:space="0" w:color="auto"/>
                                                <w:right w:val="none" w:sz="0" w:space="0" w:color="auto"/>
                                              </w:divBdr>
                                            </w:div>
                                            <w:div w:id="1409959041">
                                              <w:marLeft w:val="720"/>
                                              <w:marRight w:val="0"/>
                                              <w:marTop w:val="0"/>
                                              <w:marBottom w:val="0"/>
                                              <w:divBdr>
                                                <w:top w:val="none" w:sz="0" w:space="0" w:color="auto"/>
                                                <w:left w:val="none" w:sz="0" w:space="0" w:color="auto"/>
                                                <w:bottom w:val="none" w:sz="0" w:space="0" w:color="auto"/>
                                                <w:right w:val="none" w:sz="0" w:space="0" w:color="auto"/>
                                              </w:divBdr>
                                            </w:div>
                                            <w:div w:id="1443527772">
                                              <w:marLeft w:val="720"/>
                                              <w:marRight w:val="0"/>
                                              <w:marTop w:val="0"/>
                                              <w:marBottom w:val="0"/>
                                              <w:divBdr>
                                                <w:top w:val="none" w:sz="0" w:space="0" w:color="auto"/>
                                                <w:left w:val="none" w:sz="0" w:space="0" w:color="auto"/>
                                                <w:bottom w:val="none" w:sz="0" w:space="0" w:color="auto"/>
                                                <w:right w:val="none" w:sz="0" w:space="0" w:color="auto"/>
                                              </w:divBdr>
                                            </w:div>
                                            <w:div w:id="1463764282">
                                              <w:marLeft w:val="720"/>
                                              <w:marRight w:val="0"/>
                                              <w:marTop w:val="0"/>
                                              <w:marBottom w:val="0"/>
                                              <w:divBdr>
                                                <w:top w:val="none" w:sz="0" w:space="0" w:color="auto"/>
                                                <w:left w:val="none" w:sz="0" w:space="0" w:color="auto"/>
                                                <w:bottom w:val="none" w:sz="0" w:space="0" w:color="auto"/>
                                                <w:right w:val="none" w:sz="0" w:space="0" w:color="auto"/>
                                              </w:divBdr>
                                            </w:div>
                                            <w:div w:id="1464734251">
                                              <w:marLeft w:val="720"/>
                                              <w:marRight w:val="0"/>
                                              <w:marTop w:val="0"/>
                                              <w:marBottom w:val="0"/>
                                              <w:divBdr>
                                                <w:top w:val="none" w:sz="0" w:space="0" w:color="auto"/>
                                                <w:left w:val="none" w:sz="0" w:space="0" w:color="auto"/>
                                                <w:bottom w:val="none" w:sz="0" w:space="0" w:color="auto"/>
                                                <w:right w:val="none" w:sz="0" w:space="0" w:color="auto"/>
                                              </w:divBdr>
                                            </w:div>
                                            <w:div w:id="1469201476">
                                              <w:marLeft w:val="0"/>
                                              <w:marRight w:val="0"/>
                                              <w:marTop w:val="0"/>
                                              <w:marBottom w:val="0"/>
                                              <w:divBdr>
                                                <w:top w:val="none" w:sz="0" w:space="0" w:color="auto"/>
                                                <w:left w:val="none" w:sz="0" w:space="0" w:color="auto"/>
                                                <w:bottom w:val="none" w:sz="0" w:space="0" w:color="auto"/>
                                                <w:right w:val="none" w:sz="0" w:space="0" w:color="auto"/>
                                              </w:divBdr>
                                            </w:div>
                                            <w:div w:id="1481574406">
                                              <w:marLeft w:val="720"/>
                                              <w:marRight w:val="0"/>
                                              <w:marTop w:val="0"/>
                                              <w:marBottom w:val="0"/>
                                              <w:divBdr>
                                                <w:top w:val="none" w:sz="0" w:space="0" w:color="auto"/>
                                                <w:left w:val="none" w:sz="0" w:space="0" w:color="auto"/>
                                                <w:bottom w:val="none" w:sz="0" w:space="0" w:color="auto"/>
                                                <w:right w:val="none" w:sz="0" w:space="0" w:color="auto"/>
                                              </w:divBdr>
                                            </w:div>
                                            <w:div w:id="1499223595">
                                              <w:marLeft w:val="0"/>
                                              <w:marRight w:val="0"/>
                                              <w:marTop w:val="0"/>
                                              <w:marBottom w:val="0"/>
                                              <w:divBdr>
                                                <w:top w:val="none" w:sz="0" w:space="0" w:color="auto"/>
                                                <w:left w:val="none" w:sz="0" w:space="0" w:color="auto"/>
                                                <w:bottom w:val="none" w:sz="0" w:space="0" w:color="auto"/>
                                                <w:right w:val="none" w:sz="0" w:space="0" w:color="auto"/>
                                              </w:divBdr>
                                            </w:div>
                                            <w:div w:id="1501315477">
                                              <w:marLeft w:val="0"/>
                                              <w:marRight w:val="0"/>
                                              <w:marTop w:val="0"/>
                                              <w:marBottom w:val="0"/>
                                              <w:divBdr>
                                                <w:top w:val="none" w:sz="0" w:space="0" w:color="auto"/>
                                                <w:left w:val="none" w:sz="0" w:space="0" w:color="auto"/>
                                                <w:bottom w:val="none" w:sz="0" w:space="0" w:color="auto"/>
                                                <w:right w:val="none" w:sz="0" w:space="0" w:color="auto"/>
                                              </w:divBdr>
                                            </w:div>
                                            <w:div w:id="1557819085">
                                              <w:marLeft w:val="720"/>
                                              <w:marRight w:val="0"/>
                                              <w:marTop w:val="0"/>
                                              <w:marBottom w:val="0"/>
                                              <w:divBdr>
                                                <w:top w:val="none" w:sz="0" w:space="0" w:color="auto"/>
                                                <w:left w:val="none" w:sz="0" w:space="0" w:color="auto"/>
                                                <w:bottom w:val="none" w:sz="0" w:space="0" w:color="auto"/>
                                                <w:right w:val="none" w:sz="0" w:space="0" w:color="auto"/>
                                              </w:divBdr>
                                            </w:div>
                                            <w:div w:id="1568881164">
                                              <w:marLeft w:val="720"/>
                                              <w:marRight w:val="0"/>
                                              <w:marTop w:val="0"/>
                                              <w:marBottom w:val="0"/>
                                              <w:divBdr>
                                                <w:top w:val="none" w:sz="0" w:space="0" w:color="auto"/>
                                                <w:left w:val="none" w:sz="0" w:space="0" w:color="auto"/>
                                                <w:bottom w:val="none" w:sz="0" w:space="0" w:color="auto"/>
                                                <w:right w:val="none" w:sz="0" w:space="0" w:color="auto"/>
                                              </w:divBdr>
                                            </w:div>
                                            <w:div w:id="1574392146">
                                              <w:marLeft w:val="720"/>
                                              <w:marRight w:val="0"/>
                                              <w:marTop w:val="0"/>
                                              <w:marBottom w:val="0"/>
                                              <w:divBdr>
                                                <w:top w:val="none" w:sz="0" w:space="0" w:color="auto"/>
                                                <w:left w:val="none" w:sz="0" w:space="0" w:color="auto"/>
                                                <w:bottom w:val="none" w:sz="0" w:space="0" w:color="auto"/>
                                                <w:right w:val="none" w:sz="0" w:space="0" w:color="auto"/>
                                              </w:divBdr>
                                            </w:div>
                                            <w:div w:id="1580291431">
                                              <w:marLeft w:val="720"/>
                                              <w:marRight w:val="0"/>
                                              <w:marTop w:val="0"/>
                                              <w:marBottom w:val="0"/>
                                              <w:divBdr>
                                                <w:top w:val="none" w:sz="0" w:space="0" w:color="auto"/>
                                                <w:left w:val="none" w:sz="0" w:space="0" w:color="auto"/>
                                                <w:bottom w:val="none" w:sz="0" w:space="0" w:color="auto"/>
                                                <w:right w:val="none" w:sz="0" w:space="0" w:color="auto"/>
                                              </w:divBdr>
                                            </w:div>
                                            <w:div w:id="1598369480">
                                              <w:marLeft w:val="720"/>
                                              <w:marRight w:val="0"/>
                                              <w:marTop w:val="0"/>
                                              <w:marBottom w:val="0"/>
                                              <w:divBdr>
                                                <w:top w:val="none" w:sz="0" w:space="0" w:color="auto"/>
                                                <w:left w:val="none" w:sz="0" w:space="0" w:color="auto"/>
                                                <w:bottom w:val="none" w:sz="0" w:space="0" w:color="auto"/>
                                                <w:right w:val="none" w:sz="0" w:space="0" w:color="auto"/>
                                              </w:divBdr>
                                            </w:div>
                                            <w:div w:id="1599870803">
                                              <w:marLeft w:val="0"/>
                                              <w:marRight w:val="0"/>
                                              <w:marTop w:val="0"/>
                                              <w:marBottom w:val="0"/>
                                              <w:divBdr>
                                                <w:top w:val="none" w:sz="0" w:space="0" w:color="auto"/>
                                                <w:left w:val="none" w:sz="0" w:space="0" w:color="auto"/>
                                                <w:bottom w:val="none" w:sz="0" w:space="0" w:color="auto"/>
                                                <w:right w:val="none" w:sz="0" w:space="0" w:color="auto"/>
                                              </w:divBdr>
                                            </w:div>
                                            <w:div w:id="1607811970">
                                              <w:marLeft w:val="0"/>
                                              <w:marRight w:val="0"/>
                                              <w:marTop w:val="0"/>
                                              <w:marBottom w:val="0"/>
                                              <w:divBdr>
                                                <w:top w:val="none" w:sz="0" w:space="0" w:color="auto"/>
                                                <w:left w:val="none" w:sz="0" w:space="0" w:color="auto"/>
                                                <w:bottom w:val="none" w:sz="0" w:space="0" w:color="auto"/>
                                                <w:right w:val="none" w:sz="0" w:space="0" w:color="auto"/>
                                              </w:divBdr>
                                            </w:div>
                                            <w:div w:id="1615363370">
                                              <w:marLeft w:val="0"/>
                                              <w:marRight w:val="0"/>
                                              <w:marTop w:val="0"/>
                                              <w:marBottom w:val="0"/>
                                              <w:divBdr>
                                                <w:top w:val="none" w:sz="0" w:space="0" w:color="auto"/>
                                                <w:left w:val="none" w:sz="0" w:space="0" w:color="auto"/>
                                                <w:bottom w:val="none" w:sz="0" w:space="0" w:color="auto"/>
                                                <w:right w:val="none" w:sz="0" w:space="0" w:color="auto"/>
                                              </w:divBdr>
                                            </w:div>
                                            <w:div w:id="1657804079">
                                              <w:marLeft w:val="720"/>
                                              <w:marRight w:val="0"/>
                                              <w:marTop w:val="0"/>
                                              <w:marBottom w:val="0"/>
                                              <w:divBdr>
                                                <w:top w:val="none" w:sz="0" w:space="0" w:color="auto"/>
                                                <w:left w:val="none" w:sz="0" w:space="0" w:color="auto"/>
                                                <w:bottom w:val="none" w:sz="0" w:space="0" w:color="auto"/>
                                                <w:right w:val="none" w:sz="0" w:space="0" w:color="auto"/>
                                              </w:divBdr>
                                            </w:div>
                                            <w:div w:id="1684165146">
                                              <w:marLeft w:val="0"/>
                                              <w:marRight w:val="0"/>
                                              <w:marTop w:val="0"/>
                                              <w:marBottom w:val="0"/>
                                              <w:divBdr>
                                                <w:top w:val="none" w:sz="0" w:space="0" w:color="auto"/>
                                                <w:left w:val="none" w:sz="0" w:space="0" w:color="auto"/>
                                                <w:bottom w:val="none" w:sz="0" w:space="0" w:color="auto"/>
                                                <w:right w:val="none" w:sz="0" w:space="0" w:color="auto"/>
                                              </w:divBdr>
                                            </w:div>
                                            <w:div w:id="1708020876">
                                              <w:marLeft w:val="720"/>
                                              <w:marRight w:val="0"/>
                                              <w:marTop w:val="0"/>
                                              <w:marBottom w:val="0"/>
                                              <w:divBdr>
                                                <w:top w:val="none" w:sz="0" w:space="0" w:color="auto"/>
                                                <w:left w:val="none" w:sz="0" w:space="0" w:color="auto"/>
                                                <w:bottom w:val="none" w:sz="0" w:space="0" w:color="auto"/>
                                                <w:right w:val="none" w:sz="0" w:space="0" w:color="auto"/>
                                              </w:divBdr>
                                            </w:div>
                                            <w:div w:id="1719278712">
                                              <w:marLeft w:val="0"/>
                                              <w:marRight w:val="0"/>
                                              <w:marTop w:val="0"/>
                                              <w:marBottom w:val="0"/>
                                              <w:divBdr>
                                                <w:top w:val="none" w:sz="0" w:space="0" w:color="auto"/>
                                                <w:left w:val="none" w:sz="0" w:space="0" w:color="auto"/>
                                                <w:bottom w:val="none" w:sz="0" w:space="0" w:color="auto"/>
                                                <w:right w:val="none" w:sz="0" w:space="0" w:color="auto"/>
                                              </w:divBdr>
                                            </w:div>
                                            <w:div w:id="1746413646">
                                              <w:marLeft w:val="0"/>
                                              <w:marRight w:val="0"/>
                                              <w:marTop w:val="0"/>
                                              <w:marBottom w:val="0"/>
                                              <w:divBdr>
                                                <w:top w:val="none" w:sz="0" w:space="0" w:color="auto"/>
                                                <w:left w:val="none" w:sz="0" w:space="0" w:color="auto"/>
                                                <w:bottom w:val="none" w:sz="0" w:space="0" w:color="auto"/>
                                                <w:right w:val="none" w:sz="0" w:space="0" w:color="auto"/>
                                              </w:divBdr>
                                            </w:div>
                                            <w:div w:id="1756395166">
                                              <w:marLeft w:val="0"/>
                                              <w:marRight w:val="0"/>
                                              <w:marTop w:val="0"/>
                                              <w:marBottom w:val="0"/>
                                              <w:divBdr>
                                                <w:top w:val="none" w:sz="0" w:space="0" w:color="auto"/>
                                                <w:left w:val="none" w:sz="0" w:space="0" w:color="auto"/>
                                                <w:bottom w:val="none" w:sz="0" w:space="0" w:color="auto"/>
                                                <w:right w:val="none" w:sz="0" w:space="0" w:color="auto"/>
                                              </w:divBdr>
                                            </w:div>
                                            <w:div w:id="1772159479">
                                              <w:marLeft w:val="720"/>
                                              <w:marRight w:val="0"/>
                                              <w:marTop w:val="0"/>
                                              <w:marBottom w:val="0"/>
                                              <w:divBdr>
                                                <w:top w:val="none" w:sz="0" w:space="0" w:color="auto"/>
                                                <w:left w:val="none" w:sz="0" w:space="0" w:color="auto"/>
                                                <w:bottom w:val="none" w:sz="0" w:space="0" w:color="auto"/>
                                                <w:right w:val="none" w:sz="0" w:space="0" w:color="auto"/>
                                              </w:divBdr>
                                            </w:div>
                                            <w:div w:id="1803427163">
                                              <w:marLeft w:val="720"/>
                                              <w:marRight w:val="0"/>
                                              <w:marTop w:val="0"/>
                                              <w:marBottom w:val="0"/>
                                              <w:divBdr>
                                                <w:top w:val="none" w:sz="0" w:space="0" w:color="auto"/>
                                                <w:left w:val="none" w:sz="0" w:space="0" w:color="auto"/>
                                                <w:bottom w:val="none" w:sz="0" w:space="0" w:color="auto"/>
                                                <w:right w:val="none" w:sz="0" w:space="0" w:color="auto"/>
                                              </w:divBdr>
                                            </w:div>
                                            <w:div w:id="1862208742">
                                              <w:marLeft w:val="0"/>
                                              <w:marRight w:val="0"/>
                                              <w:marTop w:val="0"/>
                                              <w:marBottom w:val="0"/>
                                              <w:divBdr>
                                                <w:top w:val="none" w:sz="0" w:space="0" w:color="auto"/>
                                                <w:left w:val="none" w:sz="0" w:space="0" w:color="auto"/>
                                                <w:bottom w:val="none" w:sz="0" w:space="0" w:color="auto"/>
                                                <w:right w:val="none" w:sz="0" w:space="0" w:color="auto"/>
                                              </w:divBdr>
                                            </w:div>
                                            <w:div w:id="1873954264">
                                              <w:marLeft w:val="720"/>
                                              <w:marRight w:val="0"/>
                                              <w:marTop w:val="0"/>
                                              <w:marBottom w:val="0"/>
                                              <w:divBdr>
                                                <w:top w:val="none" w:sz="0" w:space="0" w:color="auto"/>
                                                <w:left w:val="none" w:sz="0" w:space="0" w:color="auto"/>
                                                <w:bottom w:val="none" w:sz="0" w:space="0" w:color="auto"/>
                                                <w:right w:val="none" w:sz="0" w:space="0" w:color="auto"/>
                                              </w:divBdr>
                                            </w:div>
                                            <w:div w:id="1876649115">
                                              <w:marLeft w:val="720"/>
                                              <w:marRight w:val="0"/>
                                              <w:marTop w:val="0"/>
                                              <w:marBottom w:val="0"/>
                                              <w:divBdr>
                                                <w:top w:val="none" w:sz="0" w:space="0" w:color="auto"/>
                                                <w:left w:val="none" w:sz="0" w:space="0" w:color="auto"/>
                                                <w:bottom w:val="none" w:sz="0" w:space="0" w:color="auto"/>
                                                <w:right w:val="none" w:sz="0" w:space="0" w:color="auto"/>
                                              </w:divBdr>
                                            </w:div>
                                            <w:div w:id="1887329098">
                                              <w:marLeft w:val="0"/>
                                              <w:marRight w:val="0"/>
                                              <w:marTop w:val="0"/>
                                              <w:marBottom w:val="0"/>
                                              <w:divBdr>
                                                <w:top w:val="none" w:sz="0" w:space="0" w:color="auto"/>
                                                <w:left w:val="none" w:sz="0" w:space="0" w:color="auto"/>
                                                <w:bottom w:val="none" w:sz="0" w:space="0" w:color="auto"/>
                                                <w:right w:val="none" w:sz="0" w:space="0" w:color="auto"/>
                                              </w:divBdr>
                                            </w:div>
                                            <w:div w:id="1922909341">
                                              <w:marLeft w:val="720"/>
                                              <w:marRight w:val="0"/>
                                              <w:marTop w:val="0"/>
                                              <w:marBottom w:val="0"/>
                                              <w:divBdr>
                                                <w:top w:val="none" w:sz="0" w:space="0" w:color="auto"/>
                                                <w:left w:val="none" w:sz="0" w:space="0" w:color="auto"/>
                                                <w:bottom w:val="none" w:sz="0" w:space="0" w:color="auto"/>
                                                <w:right w:val="none" w:sz="0" w:space="0" w:color="auto"/>
                                              </w:divBdr>
                                            </w:div>
                                            <w:div w:id="1969894156">
                                              <w:marLeft w:val="720"/>
                                              <w:marRight w:val="0"/>
                                              <w:marTop w:val="0"/>
                                              <w:marBottom w:val="0"/>
                                              <w:divBdr>
                                                <w:top w:val="none" w:sz="0" w:space="0" w:color="auto"/>
                                                <w:left w:val="none" w:sz="0" w:space="0" w:color="auto"/>
                                                <w:bottom w:val="none" w:sz="0" w:space="0" w:color="auto"/>
                                                <w:right w:val="none" w:sz="0" w:space="0" w:color="auto"/>
                                              </w:divBdr>
                                            </w:div>
                                            <w:div w:id="2035763389">
                                              <w:marLeft w:val="720"/>
                                              <w:marRight w:val="0"/>
                                              <w:marTop w:val="0"/>
                                              <w:marBottom w:val="0"/>
                                              <w:divBdr>
                                                <w:top w:val="none" w:sz="0" w:space="0" w:color="auto"/>
                                                <w:left w:val="none" w:sz="0" w:space="0" w:color="auto"/>
                                                <w:bottom w:val="none" w:sz="0" w:space="0" w:color="auto"/>
                                                <w:right w:val="none" w:sz="0" w:space="0" w:color="auto"/>
                                              </w:divBdr>
                                            </w:div>
                                            <w:div w:id="2093431873">
                                              <w:marLeft w:val="0"/>
                                              <w:marRight w:val="0"/>
                                              <w:marTop w:val="0"/>
                                              <w:marBottom w:val="0"/>
                                              <w:divBdr>
                                                <w:top w:val="none" w:sz="0" w:space="0" w:color="auto"/>
                                                <w:left w:val="none" w:sz="0" w:space="0" w:color="auto"/>
                                                <w:bottom w:val="none" w:sz="0" w:space="0" w:color="auto"/>
                                                <w:right w:val="none" w:sz="0" w:space="0" w:color="auto"/>
                                              </w:divBdr>
                                            </w:div>
                                            <w:div w:id="2126268925">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8191249">
      <w:bodyDiv w:val="1"/>
      <w:marLeft w:val="0"/>
      <w:marRight w:val="0"/>
      <w:marTop w:val="0"/>
      <w:marBottom w:val="0"/>
      <w:divBdr>
        <w:top w:val="none" w:sz="0" w:space="0" w:color="auto"/>
        <w:left w:val="none" w:sz="0" w:space="0" w:color="auto"/>
        <w:bottom w:val="none" w:sz="0" w:space="0" w:color="auto"/>
        <w:right w:val="none" w:sz="0" w:space="0" w:color="auto"/>
      </w:divBdr>
    </w:div>
    <w:div w:id="1705013813">
      <w:bodyDiv w:val="1"/>
      <w:marLeft w:val="0"/>
      <w:marRight w:val="0"/>
      <w:marTop w:val="0"/>
      <w:marBottom w:val="0"/>
      <w:divBdr>
        <w:top w:val="none" w:sz="0" w:space="0" w:color="auto"/>
        <w:left w:val="none" w:sz="0" w:space="0" w:color="auto"/>
        <w:bottom w:val="none" w:sz="0" w:space="0" w:color="auto"/>
        <w:right w:val="none" w:sz="0" w:space="0" w:color="auto"/>
      </w:divBdr>
    </w:div>
    <w:div w:id="1721787433">
      <w:bodyDiv w:val="1"/>
      <w:marLeft w:val="0"/>
      <w:marRight w:val="0"/>
      <w:marTop w:val="0"/>
      <w:marBottom w:val="0"/>
      <w:divBdr>
        <w:top w:val="none" w:sz="0" w:space="0" w:color="auto"/>
        <w:left w:val="none" w:sz="0" w:space="0" w:color="auto"/>
        <w:bottom w:val="none" w:sz="0" w:space="0" w:color="auto"/>
        <w:right w:val="none" w:sz="0" w:space="0" w:color="auto"/>
      </w:divBdr>
    </w:div>
    <w:div w:id="1769079118">
      <w:bodyDiv w:val="1"/>
      <w:marLeft w:val="0"/>
      <w:marRight w:val="0"/>
      <w:marTop w:val="0"/>
      <w:marBottom w:val="0"/>
      <w:divBdr>
        <w:top w:val="none" w:sz="0" w:space="0" w:color="auto"/>
        <w:left w:val="none" w:sz="0" w:space="0" w:color="auto"/>
        <w:bottom w:val="none" w:sz="0" w:space="0" w:color="auto"/>
        <w:right w:val="none" w:sz="0" w:space="0" w:color="auto"/>
      </w:divBdr>
    </w:div>
    <w:div w:id="1771121286">
      <w:bodyDiv w:val="1"/>
      <w:marLeft w:val="0"/>
      <w:marRight w:val="0"/>
      <w:marTop w:val="0"/>
      <w:marBottom w:val="0"/>
      <w:divBdr>
        <w:top w:val="none" w:sz="0" w:space="0" w:color="auto"/>
        <w:left w:val="none" w:sz="0" w:space="0" w:color="auto"/>
        <w:bottom w:val="none" w:sz="0" w:space="0" w:color="auto"/>
        <w:right w:val="none" w:sz="0" w:space="0" w:color="auto"/>
      </w:divBdr>
    </w:div>
    <w:div w:id="1799835882">
      <w:bodyDiv w:val="1"/>
      <w:marLeft w:val="0"/>
      <w:marRight w:val="0"/>
      <w:marTop w:val="0"/>
      <w:marBottom w:val="0"/>
      <w:divBdr>
        <w:top w:val="none" w:sz="0" w:space="0" w:color="auto"/>
        <w:left w:val="none" w:sz="0" w:space="0" w:color="auto"/>
        <w:bottom w:val="none" w:sz="0" w:space="0" w:color="auto"/>
        <w:right w:val="none" w:sz="0" w:space="0" w:color="auto"/>
      </w:divBdr>
    </w:div>
    <w:div w:id="1854146851">
      <w:bodyDiv w:val="1"/>
      <w:marLeft w:val="0"/>
      <w:marRight w:val="0"/>
      <w:marTop w:val="0"/>
      <w:marBottom w:val="0"/>
      <w:divBdr>
        <w:top w:val="none" w:sz="0" w:space="0" w:color="auto"/>
        <w:left w:val="none" w:sz="0" w:space="0" w:color="auto"/>
        <w:bottom w:val="none" w:sz="0" w:space="0" w:color="auto"/>
        <w:right w:val="none" w:sz="0" w:space="0" w:color="auto"/>
      </w:divBdr>
    </w:div>
    <w:div w:id="1886791475">
      <w:bodyDiv w:val="1"/>
      <w:marLeft w:val="0"/>
      <w:marRight w:val="0"/>
      <w:marTop w:val="0"/>
      <w:marBottom w:val="0"/>
      <w:divBdr>
        <w:top w:val="none" w:sz="0" w:space="0" w:color="auto"/>
        <w:left w:val="none" w:sz="0" w:space="0" w:color="auto"/>
        <w:bottom w:val="none" w:sz="0" w:space="0" w:color="auto"/>
        <w:right w:val="none" w:sz="0" w:space="0" w:color="auto"/>
      </w:divBdr>
    </w:div>
    <w:div w:id="1937249942">
      <w:bodyDiv w:val="1"/>
      <w:marLeft w:val="0"/>
      <w:marRight w:val="0"/>
      <w:marTop w:val="0"/>
      <w:marBottom w:val="0"/>
      <w:divBdr>
        <w:top w:val="none" w:sz="0" w:space="0" w:color="auto"/>
        <w:left w:val="none" w:sz="0" w:space="0" w:color="auto"/>
        <w:bottom w:val="none" w:sz="0" w:space="0" w:color="auto"/>
        <w:right w:val="none" w:sz="0" w:space="0" w:color="auto"/>
      </w:divBdr>
    </w:div>
    <w:div w:id="1952123143">
      <w:bodyDiv w:val="1"/>
      <w:marLeft w:val="0"/>
      <w:marRight w:val="0"/>
      <w:marTop w:val="0"/>
      <w:marBottom w:val="0"/>
      <w:divBdr>
        <w:top w:val="none" w:sz="0" w:space="0" w:color="auto"/>
        <w:left w:val="none" w:sz="0" w:space="0" w:color="auto"/>
        <w:bottom w:val="none" w:sz="0" w:space="0" w:color="auto"/>
        <w:right w:val="none" w:sz="0" w:space="0" w:color="auto"/>
      </w:divBdr>
    </w:div>
    <w:div w:id="1976594824">
      <w:bodyDiv w:val="1"/>
      <w:marLeft w:val="0"/>
      <w:marRight w:val="0"/>
      <w:marTop w:val="0"/>
      <w:marBottom w:val="0"/>
      <w:divBdr>
        <w:top w:val="none" w:sz="0" w:space="0" w:color="auto"/>
        <w:left w:val="none" w:sz="0" w:space="0" w:color="auto"/>
        <w:bottom w:val="none" w:sz="0" w:space="0" w:color="auto"/>
        <w:right w:val="none" w:sz="0" w:space="0" w:color="auto"/>
      </w:divBdr>
    </w:div>
    <w:div w:id="1992758205">
      <w:bodyDiv w:val="1"/>
      <w:marLeft w:val="0"/>
      <w:marRight w:val="0"/>
      <w:marTop w:val="0"/>
      <w:marBottom w:val="0"/>
      <w:divBdr>
        <w:top w:val="none" w:sz="0" w:space="0" w:color="auto"/>
        <w:left w:val="none" w:sz="0" w:space="0" w:color="auto"/>
        <w:bottom w:val="none" w:sz="0" w:space="0" w:color="auto"/>
        <w:right w:val="none" w:sz="0" w:space="0" w:color="auto"/>
      </w:divBdr>
    </w:div>
    <w:div w:id="2079983758">
      <w:bodyDiv w:val="1"/>
      <w:marLeft w:val="0"/>
      <w:marRight w:val="0"/>
      <w:marTop w:val="0"/>
      <w:marBottom w:val="0"/>
      <w:divBdr>
        <w:top w:val="none" w:sz="0" w:space="0" w:color="auto"/>
        <w:left w:val="none" w:sz="0" w:space="0" w:color="auto"/>
        <w:bottom w:val="none" w:sz="0" w:space="0" w:color="auto"/>
        <w:right w:val="none" w:sz="0" w:space="0" w:color="auto"/>
      </w:divBdr>
    </w:div>
    <w:div w:id="2085495382">
      <w:bodyDiv w:val="1"/>
      <w:marLeft w:val="0"/>
      <w:marRight w:val="0"/>
      <w:marTop w:val="0"/>
      <w:marBottom w:val="0"/>
      <w:divBdr>
        <w:top w:val="none" w:sz="0" w:space="0" w:color="auto"/>
        <w:left w:val="none" w:sz="0" w:space="0" w:color="auto"/>
        <w:bottom w:val="none" w:sz="0" w:space="0" w:color="auto"/>
        <w:right w:val="none" w:sz="0" w:space="0" w:color="auto"/>
      </w:divBdr>
    </w:div>
    <w:div w:id="2101952408">
      <w:bodyDiv w:val="1"/>
      <w:marLeft w:val="0"/>
      <w:marRight w:val="0"/>
      <w:marTop w:val="0"/>
      <w:marBottom w:val="0"/>
      <w:divBdr>
        <w:top w:val="none" w:sz="0" w:space="0" w:color="auto"/>
        <w:left w:val="none" w:sz="0" w:space="0" w:color="auto"/>
        <w:bottom w:val="none" w:sz="0" w:space="0" w:color="auto"/>
        <w:right w:val="none" w:sz="0" w:space="0" w:color="auto"/>
      </w:divBdr>
    </w:div>
    <w:div w:id="2106611332">
      <w:bodyDiv w:val="1"/>
      <w:marLeft w:val="0"/>
      <w:marRight w:val="0"/>
      <w:marTop w:val="0"/>
      <w:marBottom w:val="0"/>
      <w:divBdr>
        <w:top w:val="none" w:sz="0" w:space="0" w:color="auto"/>
        <w:left w:val="none" w:sz="0" w:space="0" w:color="auto"/>
        <w:bottom w:val="none" w:sz="0" w:space="0" w:color="auto"/>
        <w:right w:val="none" w:sz="0" w:space="0" w:color="auto"/>
      </w:divBdr>
    </w:div>
    <w:div w:id="2130275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9.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hart" Target="charts/chart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www.ssrs.com" TargetMode="Externa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hyperlink" Target="http://www.episcopalhealth.org/" TargetMode="External"/><Relationship Id="rId10" Type="http://schemas.openxmlformats.org/officeDocument/2006/relationships/footer" Target="footer1.xml"/><Relationship Id="rId19"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2.xml"/><Relationship Id="rId22" Type="http://schemas.openxmlformats.org/officeDocument/2006/relationships/chart" Target="charts/chart10.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r>
              <a:rPr lang="en-US" sz="1200" spc="100" baseline="0">
                <a:solidFill>
                  <a:sysClr val="windowText" lastClr="000000"/>
                </a:solidFill>
                <a:latin typeface="Segoe UI Semibold" panose="020B0702040204020203" pitchFamily="34" charset="0"/>
                <a:cs typeface="Segoe UI Semibold" panose="020B0702040204020203" pitchFamily="34" charset="0"/>
              </a:rPr>
              <a:t>CHART 1: MOST TEXANS SUPPORT INCREASE IN HEALTH CARE SPENDING</a:t>
            </a:r>
          </a:p>
          <a:p>
            <a:pPr>
              <a:defRPr sz="1200">
                <a:solidFill>
                  <a:sysClr val="windowText" lastClr="000000"/>
                </a:solidFill>
              </a:defRPr>
            </a:pPr>
            <a:endParaRPr lang="en-US" sz="500" b="0" i="0" u="none" strike="noStrike" baseline="0">
              <a:solidFill>
                <a:sysClr val="windowText" lastClr="000000"/>
              </a:solidFill>
              <a:effectLst/>
            </a:endParaRPr>
          </a:p>
          <a:p>
            <a:pPr>
              <a:defRPr sz="1200">
                <a:solidFill>
                  <a:sysClr val="windowText" lastClr="000000"/>
                </a:solidFill>
              </a:defRPr>
            </a:pPr>
            <a:r>
              <a:rPr lang="en-US" sz="800" b="0" i="0" u="none" strike="noStrike" baseline="0">
                <a:solidFill>
                  <a:sysClr val="windowText" lastClr="000000"/>
                </a:solidFill>
                <a:effectLst/>
              </a:rPr>
              <a:t>Q: Thinking about priorities in the state budget, do you think the state legislature should increase or decrease spending on </a:t>
            </a:r>
            <a:r>
              <a:rPr lang="en-US" sz="800" b="1" i="0" u="none" strike="noStrike" baseline="0">
                <a:solidFill>
                  <a:sysClr val="windowText" lastClr="000000"/>
                </a:solidFill>
                <a:effectLst/>
              </a:rPr>
              <a:t>health care programs </a:t>
            </a:r>
            <a:r>
              <a:rPr lang="en-US" sz="800" b="0" i="0" u="none" strike="noStrike" baseline="0">
                <a:solidFill>
                  <a:sysClr val="windowText" lastClr="000000"/>
                </a:solidFill>
                <a:effectLst/>
              </a:rPr>
              <a:t>or keep it about the same?</a:t>
            </a:r>
          </a:p>
          <a:p>
            <a:pPr>
              <a:defRPr sz="1200">
                <a:solidFill>
                  <a:sysClr val="windowText" lastClr="000000"/>
                </a:solidFill>
              </a:defRPr>
            </a:pPr>
            <a:endParaRPr lang="en-US" sz="800" b="0" i="1" u="none" strike="noStrike" baseline="0">
              <a:solidFill>
                <a:sysClr val="windowText" lastClr="000000"/>
              </a:solidFill>
              <a:effectLst/>
            </a:endParaRPr>
          </a:p>
          <a:p>
            <a:pPr>
              <a:defRPr sz="1200">
                <a:solidFill>
                  <a:sysClr val="windowText" lastClr="000000"/>
                </a:solidFill>
              </a:defRPr>
            </a:pPr>
            <a:r>
              <a:rPr lang="en-US" sz="900" b="0" i="0" u="none" strike="noStrike" baseline="0">
                <a:solidFill>
                  <a:sysClr val="windowText" lastClr="000000"/>
                </a:solidFill>
                <a:effectLst/>
                <a:latin typeface="Segoe UI Semibold" panose="020B0702040204020203" pitchFamily="34" charset="0"/>
                <a:cs typeface="Segoe UI Semibold" panose="020B0702040204020203" pitchFamily="34" charset="0"/>
              </a:rPr>
              <a:t>PERCENT SUPPORTING AN </a:t>
            </a:r>
            <a:endParaRPr lang="en-US" sz="900" b="0" i="0">
              <a:solidFill>
                <a:sysClr val="windowText" lastClr="000000"/>
              </a:solidFill>
              <a:latin typeface="Segoe UI Semibold" panose="020B0702040204020203" pitchFamily="34" charset="0"/>
              <a:cs typeface="Segoe UI Semibold" panose="020B0702040204020203" pitchFamily="34"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1086804938856332"/>
          <c:y val="0.31559256370908906"/>
          <c:w val="0.75489264499832276"/>
          <c:h val="0.63377449623908833"/>
        </c:manualLayout>
      </c:layout>
      <c:barChart>
        <c:barDir val="bar"/>
        <c:grouping val="stacked"/>
        <c:varyColors val="0"/>
        <c:ser>
          <c:idx val="0"/>
          <c:order val="0"/>
          <c:tx>
            <c:strRef>
              <c:f>Sheet1!$B$1</c:f>
              <c:strCache>
                <c:ptCount val="1"/>
                <c:pt idx="0">
                  <c:v>Column4</c:v>
                </c:pt>
              </c:strCache>
            </c:strRef>
          </c:tx>
          <c:spPr>
            <a:solidFill>
              <a:schemeClr val="accent1"/>
            </a:solidFill>
            <a:ln>
              <a:noFill/>
            </a:ln>
            <a:effectLst/>
          </c:spPr>
          <c:invertIfNegative val="0"/>
          <c:dPt>
            <c:idx val="5"/>
            <c:invertIfNegative val="0"/>
            <c:bubble3D val="0"/>
            <c:spPr>
              <a:solidFill>
                <a:schemeClr val="tx2"/>
              </a:solidFill>
              <a:ln>
                <a:noFill/>
              </a:ln>
              <a:effectLst/>
            </c:spPr>
            <c:extLst>
              <c:ext xmlns:c16="http://schemas.microsoft.com/office/drawing/2014/chart" uri="{C3380CC4-5D6E-409C-BE32-E72D297353CC}">
                <c16:uniqueId val="{00000005-B91E-49AE-9AFD-4827AF0AEDFA}"/>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White residents</c:v>
                </c:pt>
                <c:pt idx="1">
                  <c:v>Hispanic residents</c:v>
                </c:pt>
                <c:pt idx="2">
                  <c:v>Black residents</c:v>
                </c:pt>
                <c:pt idx="3">
                  <c:v>Ages 65+</c:v>
                </c:pt>
                <c:pt idx="4">
                  <c:v>Ages 18-64</c:v>
                </c:pt>
                <c:pt idx="5">
                  <c:v>Total</c:v>
                </c:pt>
              </c:strCache>
            </c:strRef>
          </c:cat>
          <c:val>
            <c:numRef>
              <c:f>Sheet1!$B$2:$B$7</c:f>
              <c:numCache>
                <c:formatCode>0%</c:formatCode>
                <c:ptCount val="6"/>
                <c:pt idx="0">
                  <c:v>0.53</c:v>
                </c:pt>
                <c:pt idx="1">
                  <c:v>0.57999999999999996</c:v>
                </c:pt>
                <c:pt idx="2">
                  <c:v>0.81</c:v>
                </c:pt>
                <c:pt idx="3">
                  <c:v>0.52</c:v>
                </c:pt>
                <c:pt idx="4">
                  <c:v>0.6</c:v>
                </c:pt>
                <c:pt idx="5">
                  <c:v>0.57999999999999996</c:v>
                </c:pt>
              </c:numCache>
            </c:numRef>
          </c:val>
          <c:extLst>
            <c:ext xmlns:c16="http://schemas.microsoft.com/office/drawing/2014/chart" uri="{C3380CC4-5D6E-409C-BE32-E72D297353CC}">
              <c16:uniqueId val="{00000000-B91E-49AE-9AFD-4827AF0AEDFA}"/>
            </c:ext>
          </c:extLst>
        </c:ser>
        <c:dLbls>
          <c:showLegendKey val="0"/>
          <c:showVal val="0"/>
          <c:showCatName val="0"/>
          <c:showSerName val="0"/>
          <c:showPercent val="0"/>
          <c:showBubbleSize val="0"/>
        </c:dLbls>
        <c:gapWidth val="150"/>
        <c:overlap val="100"/>
        <c:axId val="348210400"/>
        <c:axId val="348210784"/>
      </c:barChart>
      <c:catAx>
        <c:axId val="3482104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348210784"/>
        <c:crosses val="autoZero"/>
        <c:auto val="1"/>
        <c:lblAlgn val="ctr"/>
        <c:lblOffset val="100"/>
        <c:noMultiLvlLbl val="0"/>
      </c:catAx>
      <c:valAx>
        <c:axId val="348210784"/>
        <c:scaling>
          <c:orientation val="minMax"/>
          <c:max val="1"/>
        </c:scaling>
        <c:delete val="1"/>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348210400"/>
        <c:crosses val="autoZero"/>
        <c:crossBetween val="between"/>
        <c:majorUnit val="0.2"/>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r>
              <a:rPr lang="en-US" sz="1200" spc="100" baseline="0">
                <a:solidFill>
                  <a:sysClr val="windowText" lastClr="000000"/>
                </a:solidFill>
                <a:latin typeface="Segoe UI Semibold" panose="020B0702040204020203" pitchFamily="34" charset="0"/>
                <a:cs typeface="Segoe UI Semibold" panose="020B0702040204020203" pitchFamily="34" charset="0"/>
              </a:rPr>
              <a:t>CHART 2: MOST RESIDENTS SUPPORT SPENDING INCREASE FOR EDUCATION, HEALTH CARE, PUBLIC SAFETY AND INFRASTRUCTURE</a:t>
            </a:r>
          </a:p>
          <a:p>
            <a:pPr>
              <a:defRPr sz="1200">
                <a:solidFill>
                  <a:sysClr val="windowText" lastClr="000000"/>
                </a:solidFill>
              </a:defRPr>
            </a:pPr>
            <a:endParaRPr lang="en-US" sz="500" b="0" i="0" u="none" strike="noStrike" baseline="0">
              <a:solidFill>
                <a:sysClr val="windowText" lastClr="000000"/>
              </a:solidFill>
              <a:effectLst/>
            </a:endParaRPr>
          </a:p>
          <a:p>
            <a:pPr>
              <a:defRPr sz="1200">
                <a:solidFill>
                  <a:sysClr val="windowText" lastClr="000000"/>
                </a:solidFill>
              </a:defRPr>
            </a:pPr>
            <a:r>
              <a:rPr lang="en-US" sz="800" b="0" i="0" u="none" strike="noStrike" baseline="0">
                <a:solidFill>
                  <a:sysClr val="windowText" lastClr="000000"/>
                </a:solidFill>
                <a:effectLst/>
              </a:rPr>
              <a:t>Q: Thinking about priorities in the state budget, do you think the state legislature should increase or decrease spending on </a:t>
            </a:r>
            <a:r>
              <a:rPr lang="en-US" sz="800" b="1" i="0" u="none" strike="noStrike" baseline="0">
                <a:solidFill>
                  <a:sysClr val="windowText" lastClr="000000"/>
                </a:solidFill>
                <a:effectLst/>
              </a:rPr>
              <a:t>______</a:t>
            </a:r>
            <a:r>
              <a:rPr lang="en-US" sz="800" b="0" i="0" u="none" strike="noStrike" baseline="0">
                <a:solidFill>
                  <a:sysClr val="windowText" lastClr="000000"/>
                </a:solidFill>
                <a:effectLst/>
              </a:rPr>
              <a:t>or keep it abo</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23822433380038022"/>
          <c:y val="0.24336193930814826"/>
          <c:w val="0.73462445483788208"/>
          <c:h val="0.68654852320675097"/>
        </c:manualLayout>
      </c:layout>
      <c:barChart>
        <c:barDir val="bar"/>
        <c:grouping val="stacked"/>
        <c:varyColors val="0"/>
        <c:ser>
          <c:idx val="0"/>
          <c:order val="0"/>
          <c:tx>
            <c:strRef>
              <c:f>Sheet1!$B$1</c:f>
              <c:strCache>
                <c:ptCount val="1"/>
                <c:pt idx="0">
                  <c:v>Increase</c:v>
                </c:pt>
              </c:strCache>
            </c:strRef>
          </c:tx>
          <c:spPr>
            <a:solidFill>
              <a:schemeClr val="accent1"/>
            </a:solidFill>
            <a:ln>
              <a:noFill/>
            </a:ln>
            <a:effectLst/>
          </c:spPr>
          <c:invertIfNegative val="0"/>
          <c:dPt>
            <c:idx val="5"/>
            <c:invertIfNegative val="0"/>
            <c:bubble3D val="0"/>
            <c:spPr>
              <a:solidFill>
                <a:schemeClr val="accent1"/>
              </a:solidFill>
              <a:ln>
                <a:noFill/>
              </a:ln>
              <a:effectLst/>
            </c:spPr>
            <c:extLst>
              <c:ext xmlns:c16="http://schemas.microsoft.com/office/drawing/2014/chart" uri="{C3380CC4-5D6E-409C-BE32-E72D297353CC}">
                <c16:uniqueId val="{00000001-157F-4D28-9FB3-1116D100566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Transportation</c:v>
                </c:pt>
                <c:pt idx="1">
                  <c:v>Welfare programs</c:v>
                </c:pt>
                <c:pt idx="2">
                  <c:v>Infrastructure</c:v>
                </c:pt>
                <c:pt idx="3">
                  <c:v>Public safety</c:v>
                </c:pt>
                <c:pt idx="4">
                  <c:v>Health care programs</c:v>
                </c:pt>
                <c:pt idx="5">
                  <c:v>Public education</c:v>
                </c:pt>
              </c:strCache>
            </c:strRef>
          </c:cat>
          <c:val>
            <c:numRef>
              <c:f>Sheet1!$B$2:$B$7</c:f>
              <c:numCache>
                <c:formatCode>0%</c:formatCode>
                <c:ptCount val="6"/>
                <c:pt idx="0">
                  <c:v>0.38</c:v>
                </c:pt>
                <c:pt idx="1">
                  <c:v>0.38</c:v>
                </c:pt>
                <c:pt idx="2">
                  <c:v>0.54</c:v>
                </c:pt>
                <c:pt idx="3">
                  <c:v>0.56000000000000005</c:v>
                </c:pt>
                <c:pt idx="4">
                  <c:v>0.57999999999999996</c:v>
                </c:pt>
                <c:pt idx="5">
                  <c:v>0.71</c:v>
                </c:pt>
              </c:numCache>
            </c:numRef>
          </c:val>
          <c:extLst>
            <c:ext xmlns:c16="http://schemas.microsoft.com/office/drawing/2014/chart" uri="{C3380CC4-5D6E-409C-BE32-E72D297353CC}">
              <c16:uniqueId val="{00000002-157F-4D28-9FB3-1116D100566E}"/>
            </c:ext>
          </c:extLst>
        </c:ser>
        <c:ser>
          <c:idx val="1"/>
          <c:order val="1"/>
          <c:tx>
            <c:strRef>
              <c:f>Sheet1!$C$1</c:f>
              <c:strCache>
                <c:ptCount val="1"/>
                <c:pt idx="0">
                  <c:v>Decrease</c:v>
                </c:pt>
              </c:strCache>
            </c:strRef>
          </c:tx>
          <c:spPr>
            <a:solidFill>
              <a:schemeClr val="tx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Transportation</c:v>
                </c:pt>
                <c:pt idx="1">
                  <c:v>Welfare programs</c:v>
                </c:pt>
                <c:pt idx="2">
                  <c:v>Infrastructure</c:v>
                </c:pt>
                <c:pt idx="3">
                  <c:v>Public safety</c:v>
                </c:pt>
                <c:pt idx="4">
                  <c:v>Health care programs</c:v>
                </c:pt>
                <c:pt idx="5">
                  <c:v>Public education</c:v>
                </c:pt>
              </c:strCache>
            </c:strRef>
          </c:cat>
          <c:val>
            <c:numRef>
              <c:f>Sheet1!$C$2:$C$7</c:f>
              <c:numCache>
                <c:formatCode>0%</c:formatCode>
                <c:ptCount val="6"/>
                <c:pt idx="0">
                  <c:v>0.1</c:v>
                </c:pt>
                <c:pt idx="1">
                  <c:v>0.19</c:v>
                </c:pt>
                <c:pt idx="2">
                  <c:v>0.05</c:v>
                </c:pt>
                <c:pt idx="3">
                  <c:v>0.05</c:v>
                </c:pt>
                <c:pt idx="4">
                  <c:v>0.08</c:v>
                </c:pt>
                <c:pt idx="5">
                  <c:v>0.05</c:v>
                </c:pt>
              </c:numCache>
            </c:numRef>
          </c:val>
          <c:extLst>
            <c:ext xmlns:c16="http://schemas.microsoft.com/office/drawing/2014/chart" uri="{C3380CC4-5D6E-409C-BE32-E72D297353CC}">
              <c16:uniqueId val="{00000004-157F-4D28-9FB3-1116D100566E}"/>
            </c:ext>
          </c:extLst>
        </c:ser>
        <c:ser>
          <c:idx val="2"/>
          <c:order val="2"/>
          <c:tx>
            <c:strRef>
              <c:f>Sheet1!$D$1</c:f>
              <c:strCache>
                <c:ptCount val="1"/>
                <c:pt idx="0">
                  <c:v>Keep about the same</c:v>
                </c:pt>
              </c:strCache>
            </c:strRef>
          </c:tx>
          <c:spPr>
            <a:solidFill>
              <a:schemeClr val="bg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Transportation</c:v>
                </c:pt>
                <c:pt idx="1">
                  <c:v>Welfare programs</c:v>
                </c:pt>
                <c:pt idx="2">
                  <c:v>Infrastructure</c:v>
                </c:pt>
                <c:pt idx="3">
                  <c:v>Public safety</c:v>
                </c:pt>
                <c:pt idx="4">
                  <c:v>Health care programs</c:v>
                </c:pt>
                <c:pt idx="5">
                  <c:v>Public education</c:v>
                </c:pt>
              </c:strCache>
            </c:strRef>
          </c:cat>
          <c:val>
            <c:numRef>
              <c:f>Sheet1!$D$2:$D$7</c:f>
              <c:numCache>
                <c:formatCode>0%</c:formatCode>
                <c:ptCount val="6"/>
                <c:pt idx="0">
                  <c:v>0.45</c:v>
                </c:pt>
                <c:pt idx="1">
                  <c:v>0.37</c:v>
                </c:pt>
                <c:pt idx="2">
                  <c:v>0.39</c:v>
                </c:pt>
                <c:pt idx="3">
                  <c:v>0.37</c:v>
                </c:pt>
                <c:pt idx="4">
                  <c:v>0.27</c:v>
                </c:pt>
                <c:pt idx="5">
                  <c:v>0.21</c:v>
                </c:pt>
              </c:numCache>
            </c:numRef>
          </c:val>
          <c:extLst>
            <c:ext xmlns:c16="http://schemas.microsoft.com/office/drawing/2014/chart" uri="{C3380CC4-5D6E-409C-BE32-E72D297353CC}">
              <c16:uniqueId val="{00000005-157F-4D28-9FB3-1116D100566E}"/>
            </c:ext>
          </c:extLst>
        </c:ser>
        <c:dLbls>
          <c:showLegendKey val="0"/>
          <c:showVal val="0"/>
          <c:showCatName val="0"/>
          <c:showSerName val="0"/>
          <c:showPercent val="0"/>
          <c:showBubbleSize val="0"/>
        </c:dLbls>
        <c:gapWidth val="150"/>
        <c:overlap val="100"/>
        <c:axId val="348210400"/>
        <c:axId val="348210784"/>
      </c:barChart>
      <c:catAx>
        <c:axId val="3482104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348210784"/>
        <c:crosses val="autoZero"/>
        <c:auto val="1"/>
        <c:lblAlgn val="ctr"/>
        <c:lblOffset val="100"/>
        <c:noMultiLvlLbl val="0"/>
      </c:catAx>
      <c:valAx>
        <c:axId val="348210784"/>
        <c:scaling>
          <c:orientation val="minMax"/>
          <c:max val="1"/>
        </c:scaling>
        <c:delete val="1"/>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348210400"/>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r>
              <a:rPr lang="en-US" sz="1200" spc="100" baseline="0">
                <a:solidFill>
                  <a:sysClr val="windowText" lastClr="000000"/>
                </a:solidFill>
                <a:latin typeface="Segoe UI Semibold" panose="020B0702040204020203" pitchFamily="34" charset="0"/>
                <a:cs typeface="Segoe UI Semibold" panose="020B0702040204020203" pitchFamily="34" charset="0"/>
              </a:rPr>
              <a:t>CHART 3: MAJORITIES SAY EDUCATION, HEALTH CARE, INFRASTRUCTURE, AND PUBLIC SAFETY SHOULD BE ADDRESSED BY CANDIDATES</a:t>
            </a:r>
            <a:endParaRPr lang="en-US" sz="500" b="0" i="0" u="none" strike="noStrike" spc="100" baseline="0">
              <a:solidFill>
                <a:sysClr val="windowText" lastClr="000000"/>
              </a:solidFill>
              <a:effectLst/>
            </a:endParaRPr>
          </a:p>
          <a:p>
            <a:pPr>
              <a:defRPr sz="1200">
                <a:solidFill>
                  <a:sysClr val="windowText" lastClr="000000"/>
                </a:solidFill>
              </a:defRPr>
            </a:pPr>
            <a:endParaRPr lang="en-US" sz="500" b="0" i="0" u="none" strike="noStrike" baseline="0">
              <a:solidFill>
                <a:sysClr val="windowText" lastClr="000000"/>
              </a:solidFill>
              <a:effectLst/>
            </a:endParaRPr>
          </a:p>
          <a:p>
            <a:pPr>
              <a:defRPr sz="1200">
                <a:solidFill>
                  <a:sysClr val="windowText" lastClr="000000"/>
                </a:solidFill>
              </a:defRPr>
            </a:pPr>
            <a:r>
              <a:rPr lang="en-US" sz="800" b="0" i="0" u="none" strike="noStrike" baseline="0">
                <a:solidFill>
                  <a:sysClr val="windowText" lastClr="000000"/>
                </a:solidFill>
                <a:effectLst/>
              </a:rPr>
              <a:t>Q: </a:t>
            </a:r>
            <a:r>
              <a:rPr lang="en-US" sz="800" b="0" i="0" u="none" strike="noStrike" baseline="0">
                <a:effectLst/>
              </a:rPr>
              <a:t>How important, if it all, do you think it is for candidates running for office to address the following issues in their campaign? </a:t>
            </a:r>
            <a:endParaRPr lang="en-US" sz="800">
              <a:solidFill>
                <a:sysClr val="windowText" lastClr="000000"/>
              </a:solidFill>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Very important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K through 12 education</c:v>
                </c:pt>
                <c:pt idx="1">
                  <c:v>Crime and Public Safety issues</c:v>
                </c:pt>
                <c:pt idx="2">
                  <c:v>Making health care more affordable</c:v>
                </c:pt>
                <c:pt idx="3">
                  <c:v>Preparedness for natural disasters</c:v>
                </c:pt>
                <c:pt idx="4">
                  <c:v>Child welfare</c:v>
                </c:pt>
                <c:pt idx="5">
                  <c:v>Immigration</c:v>
                </c:pt>
                <c:pt idx="6">
                  <c:v>Infrastructure</c:v>
                </c:pt>
                <c:pt idx="7">
                  <c:v>Unemployment</c:v>
                </c:pt>
                <c:pt idx="8">
                  <c:v>Climate change</c:v>
                </c:pt>
              </c:strCache>
            </c:strRef>
          </c:cat>
          <c:val>
            <c:numRef>
              <c:f>Sheet1!$B$2:$B$10</c:f>
              <c:numCache>
                <c:formatCode>0%</c:formatCode>
                <c:ptCount val="9"/>
                <c:pt idx="0">
                  <c:v>0.82</c:v>
                </c:pt>
                <c:pt idx="1">
                  <c:v>0.77</c:v>
                </c:pt>
                <c:pt idx="2">
                  <c:v>0.76</c:v>
                </c:pt>
                <c:pt idx="3">
                  <c:v>0.74</c:v>
                </c:pt>
                <c:pt idx="4">
                  <c:v>0.65</c:v>
                </c:pt>
                <c:pt idx="5">
                  <c:v>0.62</c:v>
                </c:pt>
                <c:pt idx="6">
                  <c:v>0.53</c:v>
                </c:pt>
                <c:pt idx="7">
                  <c:v>0.52</c:v>
                </c:pt>
                <c:pt idx="8">
                  <c:v>0.42</c:v>
                </c:pt>
              </c:numCache>
            </c:numRef>
          </c:val>
          <c:extLst>
            <c:ext xmlns:c16="http://schemas.microsoft.com/office/drawing/2014/chart" uri="{C3380CC4-5D6E-409C-BE32-E72D297353CC}">
              <c16:uniqueId val="{00000000-B219-4C63-AD2A-07FF31E1DC9F}"/>
            </c:ext>
          </c:extLst>
        </c:ser>
        <c:ser>
          <c:idx val="1"/>
          <c:order val="1"/>
          <c:tx>
            <c:strRef>
              <c:f>Sheet1!$C$1</c:f>
              <c:strCache>
                <c:ptCount val="1"/>
                <c:pt idx="0">
                  <c:v>Somewhat important</c:v>
                </c:pt>
              </c:strCache>
            </c:strRef>
          </c:tx>
          <c:spPr>
            <a:solidFill>
              <a:schemeClr val="tx1">
                <a:lumMod val="90000"/>
                <a:lumOff val="1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K through 12 education</c:v>
                </c:pt>
                <c:pt idx="1">
                  <c:v>Crime and Public Safety issues</c:v>
                </c:pt>
                <c:pt idx="2">
                  <c:v>Making health care more affordable</c:v>
                </c:pt>
                <c:pt idx="3">
                  <c:v>Preparedness for natural disasters</c:v>
                </c:pt>
                <c:pt idx="4">
                  <c:v>Child welfare</c:v>
                </c:pt>
                <c:pt idx="5">
                  <c:v>Immigration</c:v>
                </c:pt>
                <c:pt idx="6">
                  <c:v>Infrastructure</c:v>
                </c:pt>
                <c:pt idx="7">
                  <c:v>Unemployment</c:v>
                </c:pt>
                <c:pt idx="8">
                  <c:v>Climate change</c:v>
                </c:pt>
              </c:strCache>
            </c:strRef>
          </c:cat>
          <c:val>
            <c:numRef>
              <c:f>Sheet1!$C$2:$C$10</c:f>
              <c:numCache>
                <c:formatCode>0%</c:formatCode>
                <c:ptCount val="9"/>
                <c:pt idx="0">
                  <c:v>0.13</c:v>
                </c:pt>
                <c:pt idx="1">
                  <c:v>0.18</c:v>
                </c:pt>
                <c:pt idx="2">
                  <c:v>0.17</c:v>
                </c:pt>
                <c:pt idx="3">
                  <c:v>0.22</c:v>
                </c:pt>
                <c:pt idx="4">
                  <c:v>0.26</c:v>
                </c:pt>
                <c:pt idx="5">
                  <c:v>0.24</c:v>
                </c:pt>
                <c:pt idx="6">
                  <c:v>0.37</c:v>
                </c:pt>
                <c:pt idx="7">
                  <c:v>0.34</c:v>
                </c:pt>
                <c:pt idx="8">
                  <c:v>0.28999999999999998</c:v>
                </c:pt>
              </c:numCache>
            </c:numRef>
          </c:val>
          <c:extLst>
            <c:ext xmlns:c16="http://schemas.microsoft.com/office/drawing/2014/chart" uri="{C3380CC4-5D6E-409C-BE32-E72D297353CC}">
              <c16:uniqueId val="{00000001-B219-4C63-AD2A-07FF31E1DC9F}"/>
            </c:ext>
          </c:extLst>
        </c:ser>
        <c:ser>
          <c:idx val="2"/>
          <c:order val="2"/>
          <c:tx>
            <c:strRef>
              <c:f>Sheet1!$D$1</c:f>
              <c:strCache>
                <c:ptCount val="1"/>
                <c:pt idx="0">
                  <c:v>Not too/Not at all important</c:v>
                </c:pt>
              </c:strCache>
            </c:strRef>
          </c:tx>
          <c:spPr>
            <a:solidFill>
              <a:schemeClr val="bg1">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K through 12 education</c:v>
                </c:pt>
                <c:pt idx="1">
                  <c:v>Crime and Public Safety issues</c:v>
                </c:pt>
                <c:pt idx="2">
                  <c:v>Making health care more affordable</c:v>
                </c:pt>
                <c:pt idx="3">
                  <c:v>Preparedness for natural disasters</c:v>
                </c:pt>
                <c:pt idx="4">
                  <c:v>Child welfare</c:v>
                </c:pt>
                <c:pt idx="5">
                  <c:v>Immigration</c:v>
                </c:pt>
                <c:pt idx="6">
                  <c:v>Infrastructure</c:v>
                </c:pt>
                <c:pt idx="7">
                  <c:v>Unemployment</c:v>
                </c:pt>
                <c:pt idx="8">
                  <c:v>Climate change</c:v>
                </c:pt>
              </c:strCache>
            </c:strRef>
          </c:cat>
          <c:val>
            <c:numRef>
              <c:f>Sheet1!$D$2:$D$10</c:f>
              <c:numCache>
                <c:formatCode>0%</c:formatCode>
                <c:ptCount val="9"/>
                <c:pt idx="0">
                  <c:v>0.05</c:v>
                </c:pt>
                <c:pt idx="1">
                  <c:v>0.05</c:v>
                </c:pt>
                <c:pt idx="2">
                  <c:v>0.06</c:v>
                </c:pt>
                <c:pt idx="3">
                  <c:v>0.04</c:v>
                </c:pt>
                <c:pt idx="4">
                  <c:v>0.08</c:v>
                </c:pt>
                <c:pt idx="5">
                  <c:v>0.12</c:v>
                </c:pt>
                <c:pt idx="6">
                  <c:v>7.0000000000000007E-2</c:v>
                </c:pt>
                <c:pt idx="7">
                  <c:v>0.12</c:v>
                </c:pt>
                <c:pt idx="8">
                  <c:v>0.27</c:v>
                </c:pt>
              </c:numCache>
            </c:numRef>
          </c:val>
          <c:extLst>
            <c:ext xmlns:c16="http://schemas.microsoft.com/office/drawing/2014/chart" uri="{C3380CC4-5D6E-409C-BE32-E72D297353CC}">
              <c16:uniqueId val="{00000002-B219-4C63-AD2A-07FF31E1DC9F}"/>
            </c:ext>
          </c:extLst>
        </c:ser>
        <c:dLbls>
          <c:showLegendKey val="0"/>
          <c:showVal val="0"/>
          <c:showCatName val="0"/>
          <c:showSerName val="0"/>
          <c:showPercent val="0"/>
          <c:showBubbleSize val="0"/>
        </c:dLbls>
        <c:gapWidth val="150"/>
        <c:overlap val="100"/>
        <c:axId val="348210400"/>
        <c:axId val="348210784"/>
      </c:barChart>
      <c:catAx>
        <c:axId val="34821040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348210784"/>
        <c:crosses val="autoZero"/>
        <c:auto val="1"/>
        <c:lblAlgn val="ctr"/>
        <c:lblOffset val="100"/>
        <c:noMultiLvlLbl val="0"/>
      </c:catAx>
      <c:valAx>
        <c:axId val="348210784"/>
        <c:scaling>
          <c:orientation val="minMax"/>
          <c:max val="1"/>
        </c:scaling>
        <c:delete val="1"/>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348210400"/>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r>
              <a:rPr lang="en-US" sz="1200" spc="100" baseline="0">
                <a:solidFill>
                  <a:sysClr val="windowText" lastClr="000000"/>
                </a:solidFill>
                <a:latin typeface="Segoe UI Semibold" panose="020B0702040204020203" pitchFamily="34" charset="0"/>
                <a:cs typeface="Segoe UI Semibold" panose="020B0702040204020203" pitchFamily="34" charset="0"/>
              </a:rPr>
              <a:t>CHART 4: ACCESS AND COST RANK AS TOP HEALTH CARE PRIORITIES FOR MOST TEXANS</a:t>
            </a:r>
          </a:p>
          <a:p>
            <a:pPr>
              <a:defRPr sz="1200">
                <a:solidFill>
                  <a:sysClr val="windowText" lastClr="000000"/>
                </a:solidFill>
              </a:defRPr>
            </a:pPr>
            <a:endParaRPr lang="en-US" sz="500" b="0" i="0" u="none" strike="noStrike" baseline="0">
              <a:solidFill>
                <a:sysClr val="windowText" lastClr="000000"/>
              </a:solidFill>
              <a:effectLst/>
            </a:endParaRPr>
          </a:p>
          <a:p>
            <a:pPr>
              <a:defRPr sz="1200">
                <a:solidFill>
                  <a:sysClr val="windowText" lastClr="000000"/>
                </a:solidFill>
              </a:defRPr>
            </a:pPr>
            <a:r>
              <a:rPr lang="en-US" sz="800" b="0" i="0" u="none" strike="noStrike" baseline="0">
                <a:solidFill>
                  <a:sysClr val="windowText" lastClr="000000"/>
                </a:solidFill>
                <a:effectLst/>
              </a:rPr>
              <a:t>Q: </a:t>
            </a:r>
            <a:r>
              <a:rPr lang="en-US" sz="800" b="0" i="0" u="none" strike="noStrike" baseline="0">
                <a:effectLst/>
              </a:rPr>
              <a:t>What about _____? Should that be a top priority for the Texas legislature, important but not a top priority, not too important, or should it not be done?</a:t>
            </a:r>
            <a:endParaRPr lang="en-US" sz="800">
              <a:solidFill>
                <a:sysClr val="windowText" lastClr="000000"/>
              </a:solidFill>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50160607726724737"/>
          <c:y val="0.18945299258407178"/>
          <c:w val="0.4720498502709583"/>
          <c:h val="0.72527096703664817"/>
        </c:manualLayout>
      </c:layout>
      <c:barChart>
        <c:barDir val="bar"/>
        <c:grouping val="stacked"/>
        <c:varyColors val="0"/>
        <c:ser>
          <c:idx val="0"/>
          <c:order val="0"/>
          <c:tx>
            <c:strRef>
              <c:f>Sheet1!$B$1</c:f>
              <c:strCache>
                <c:ptCount val="1"/>
                <c:pt idx="0">
                  <c:v>Top priority</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Decreasing state government spending on health care</c:v>
                </c:pt>
                <c:pt idx="1">
                  <c:v>Dealing with the Rx painkiller addiction epidemic</c:v>
                </c:pt>
                <c:pt idx="2">
                  <c:v>Increasing women's access to family planning and contraception</c:v>
                </c:pt>
                <c:pt idx="3">
                  <c:v>Expanding Medicaid to cover more low-income Texans</c:v>
                </c:pt>
                <c:pt idx="4">
                  <c:v>Reducing the number of women who die from causes related to pregnancy and childbirth</c:v>
                </c:pt>
                <c:pt idx="5">
                  <c:v>Improving access to hospitals in rural areas</c:v>
                </c:pt>
                <c:pt idx="6">
                  <c:v>Increasing funding for mental health programs</c:v>
                </c:pt>
                <c:pt idx="7">
                  <c:v>Increasing access to health insurance</c:v>
                </c:pt>
                <c:pt idx="8">
                  <c:v>Lowering amount individuals pay for health care</c:v>
                </c:pt>
                <c:pt idx="9">
                  <c:v>Lowering the cost of Rx drugs</c:v>
                </c:pt>
              </c:strCache>
            </c:strRef>
          </c:cat>
          <c:val>
            <c:numRef>
              <c:f>Sheet1!$B$2:$B$11</c:f>
              <c:numCache>
                <c:formatCode>0%</c:formatCode>
                <c:ptCount val="10"/>
                <c:pt idx="0">
                  <c:v>0.21</c:v>
                </c:pt>
                <c:pt idx="1">
                  <c:v>0.38</c:v>
                </c:pt>
                <c:pt idx="2">
                  <c:v>0.45</c:v>
                </c:pt>
                <c:pt idx="3">
                  <c:v>0.47</c:v>
                </c:pt>
                <c:pt idx="4">
                  <c:v>0.49</c:v>
                </c:pt>
                <c:pt idx="5">
                  <c:v>0.49</c:v>
                </c:pt>
                <c:pt idx="6">
                  <c:v>0.5</c:v>
                </c:pt>
                <c:pt idx="7">
                  <c:v>0.53</c:v>
                </c:pt>
                <c:pt idx="8">
                  <c:v>0.54</c:v>
                </c:pt>
                <c:pt idx="9">
                  <c:v>0.56000000000000005</c:v>
                </c:pt>
              </c:numCache>
            </c:numRef>
          </c:val>
          <c:extLst>
            <c:ext xmlns:c16="http://schemas.microsoft.com/office/drawing/2014/chart" uri="{C3380CC4-5D6E-409C-BE32-E72D297353CC}">
              <c16:uniqueId val="{00000000-5D28-4946-9051-8190E3C488A0}"/>
            </c:ext>
          </c:extLst>
        </c:ser>
        <c:ser>
          <c:idx val="1"/>
          <c:order val="1"/>
          <c:tx>
            <c:strRef>
              <c:f>Sheet1!$C$1</c:f>
              <c:strCache>
                <c:ptCount val="1"/>
                <c:pt idx="0">
                  <c:v>Important but not a top priority</c:v>
                </c:pt>
              </c:strCache>
            </c:strRef>
          </c:tx>
          <c:spPr>
            <a:solidFill>
              <a:schemeClr val="tx1">
                <a:lumMod val="90000"/>
                <a:lumOff val="1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Decreasing state government spending on health care</c:v>
                </c:pt>
                <c:pt idx="1">
                  <c:v>Dealing with the Rx painkiller addiction epidemic</c:v>
                </c:pt>
                <c:pt idx="2">
                  <c:v>Increasing women's access to family planning and contraception</c:v>
                </c:pt>
                <c:pt idx="3">
                  <c:v>Expanding Medicaid to cover more low-income Texans</c:v>
                </c:pt>
                <c:pt idx="4">
                  <c:v>Reducing the number of women who die from causes related to pregnancy and childbirth</c:v>
                </c:pt>
                <c:pt idx="5">
                  <c:v>Improving access to hospitals in rural areas</c:v>
                </c:pt>
                <c:pt idx="6">
                  <c:v>Increasing funding for mental health programs</c:v>
                </c:pt>
                <c:pt idx="7">
                  <c:v>Increasing access to health insurance</c:v>
                </c:pt>
                <c:pt idx="8">
                  <c:v>Lowering amount individuals pay for health care</c:v>
                </c:pt>
                <c:pt idx="9">
                  <c:v>Lowering the cost of Rx drugs</c:v>
                </c:pt>
              </c:strCache>
            </c:strRef>
          </c:cat>
          <c:val>
            <c:numRef>
              <c:f>Sheet1!$C$2:$C$11</c:f>
              <c:numCache>
                <c:formatCode>0%</c:formatCode>
                <c:ptCount val="10"/>
                <c:pt idx="0">
                  <c:v>0.28000000000000003</c:v>
                </c:pt>
                <c:pt idx="1">
                  <c:v>0.46</c:v>
                </c:pt>
                <c:pt idx="2">
                  <c:v>0.25</c:v>
                </c:pt>
                <c:pt idx="3">
                  <c:v>0.36</c:v>
                </c:pt>
                <c:pt idx="4">
                  <c:v>0.33</c:v>
                </c:pt>
                <c:pt idx="5">
                  <c:v>0.4</c:v>
                </c:pt>
                <c:pt idx="6">
                  <c:v>0.37</c:v>
                </c:pt>
                <c:pt idx="7">
                  <c:v>0.33</c:v>
                </c:pt>
                <c:pt idx="8">
                  <c:v>0.33</c:v>
                </c:pt>
                <c:pt idx="9">
                  <c:v>0.35</c:v>
                </c:pt>
              </c:numCache>
            </c:numRef>
          </c:val>
          <c:extLst>
            <c:ext xmlns:c16="http://schemas.microsoft.com/office/drawing/2014/chart" uri="{C3380CC4-5D6E-409C-BE32-E72D297353CC}">
              <c16:uniqueId val="{00000001-5D28-4946-9051-8190E3C488A0}"/>
            </c:ext>
          </c:extLst>
        </c:ser>
        <c:ser>
          <c:idx val="2"/>
          <c:order val="2"/>
          <c:tx>
            <c:strRef>
              <c:f>Sheet1!$D$1</c:f>
              <c:strCache>
                <c:ptCount val="1"/>
                <c:pt idx="0">
                  <c:v>Not too important</c:v>
                </c:pt>
              </c:strCache>
            </c:strRef>
          </c:tx>
          <c:spPr>
            <a:solidFill>
              <a:schemeClr val="bg1">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Decreasing state government spending on health care</c:v>
                </c:pt>
                <c:pt idx="1">
                  <c:v>Dealing with the Rx painkiller addiction epidemic</c:v>
                </c:pt>
                <c:pt idx="2">
                  <c:v>Increasing women's access to family planning and contraception</c:v>
                </c:pt>
                <c:pt idx="3">
                  <c:v>Expanding Medicaid to cover more low-income Texans</c:v>
                </c:pt>
                <c:pt idx="4">
                  <c:v>Reducing the number of women who die from causes related to pregnancy and childbirth</c:v>
                </c:pt>
                <c:pt idx="5">
                  <c:v>Improving access to hospitals in rural areas</c:v>
                </c:pt>
                <c:pt idx="6">
                  <c:v>Increasing funding for mental health programs</c:v>
                </c:pt>
                <c:pt idx="7">
                  <c:v>Increasing access to health insurance</c:v>
                </c:pt>
                <c:pt idx="8">
                  <c:v>Lowering amount individuals pay for health care</c:v>
                </c:pt>
                <c:pt idx="9">
                  <c:v>Lowering the cost of Rx drugs</c:v>
                </c:pt>
              </c:strCache>
            </c:strRef>
          </c:cat>
          <c:val>
            <c:numRef>
              <c:f>Sheet1!$D$2:$D$11</c:f>
              <c:numCache>
                <c:formatCode>0%</c:formatCode>
                <c:ptCount val="10"/>
                <c:pt idx="0">
                  <c:v>0.13</c:v>
                </c:pt>
                <c:pt idx="1">
                  <c:v>0.1</c:v>
                </c:pt>
                <c:pt idx="2">
                  <c:v>0.12</c:v>
                </c:pt>
                <c:pt idx="3">
                  <c:v>0.08</c:v>
                </c:pt>
                <c:pt idx="4">
                  <c:v>0.09</c:v>
                </c:pt>
                <c:pt idx="5">
                  <c:v>0.06</c:v>
                </c:pt>
                <c:pt idx="6">
                  <c:v>0.08</c:v>
                </c:pt>
                <c:pt idx="7">
                  <c:v>0.08</c:v>
                </c:pt>
                <c:pt idx="8">
                  <c:v>0.05</c:v>
                </c:pt>
                <c:pt idx="9">
                  <c:v>0.06</c:v>
                </c:pt>
              </c:numCache>
            </c:numRef>
          </c:val>
          <c:extLst>
            <c:ext xmlns:c16="http://schemas.microsoft.com/office/drawing/2014/chart" uri="{C3380CC4-5D6E-409C-BE32-E72D297353CC}">
              <c16:uniqueId val="{00000002-5D28-4946-9051-8190E3C488A0}"/>
            </c:ext>
          </c:extLst>
        </c:ser>
        <c:ser>
          <c:idx val="3"/>
          <c:order val="3"/>
          <c:tx>
            <c:strRef>
              <c:f>Sheet1!$E$1</c:f>
              <c:strCache>
                <c:ptCount val="1"/>
                <c:pt idx="0">
                  <c:v>Should not be done</c:v>
                </c:pt>
              </c:strCache>
            </c:strRef>
          </c:tx>
          <c:spPr>
            <a:solidFill>
              <a:schemeClr val="accent3"/>
            </a:solidFill>
            <a:ln>
              <a:noFill/>
            </a:ln>
            <a:effectLst/>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9-5D28-4946-9051-8190E3C488A0}"/>
                </c:ext>
              </c:extLst>
            </c:dLbl>
            <c:dLbl>
              <c:idx val="5"/>
              <c:delete val="1"/>
              <c:extLst>
                <c:ext xmlns:c15="http://schemas.microsoft.com/office/drawing/2012/chart" uri="{CE6537A1-D6FC-4f65-9D91-7224C49458BB}"/>
                <c:ext xmlns:c16="http://schemas.microsoft.com/office/drawing/2014/chart" uri="{C3380CC4-5D6E-409C-BE32-E72D297353CC}">
                  <c16:uniqueId val="{00000005-5D28-4946-9051-8190E3C488A0}"/>
                </c:ext>
              </c:extLst>
            </c:dLbl>
            <c:dLbl>
              <c:idx val="6"/>
              <c:delete val="1"/>
              <c:extLst>
                <c:ext xmlns:c15="http://schemas.microsoft.com/office/drawing/2012/chart" uri="{CE6537A1-D6FC-4f65-9D91-7224C49458BB}"/>
                <c:ext xmlns:c16="http://schemas.microsoft.com/office/drawing/2014/chart" uri="{C3380CC4-5D6E-409C-BE32-E72D297353CC}">
                  <c16:uniqueId val="{00000006-5D28-4946-9051-8190E3C488A0}"/>
                </c:ext>
              </c:extLst>
            </c:dLbl>
            <c:dLbl>
              <c:idx val="8"/>
              <c:layout>
                <c:manualLayout>
                  <c:x val="0"/>
                  <c:y val="1.8442477451766004E-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D28-4946-9051-8190E3C488A0}"/>
                </c:ext>
              </c:extLst>
            </c:dLbl>
            <c:dLbl>
              <c:idx val="9"/>
              <c:delete val="1"/>
              <c:extLst>
                <c:ext xmlns:c15="http://schemas.microsoft.com/office/drawing/2012/chart" uri="{CE6537A1-D6FC-4f65-9D91-7224C49458BB}"/>
                <c:ext xmlns:c16="http://schemas.microsoft.com/office/drawing/2014/chart" uri="{C3380CC4-5D6E-409C-BE32-E72D297353CC}">
                  <c16:uniqueId val="{00000008-5D28-4946-9051-8190E3C488A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Decreasing state government spending on health care</c:v>
                </c:pt>
                <c:pt idx="1">
                  <c:v>Dealing with the Rx painkiller addiction epidemic</c:v>
                </c:pt>
                <c:pt idx="2">
                  <c:v>Increasing women's access to family planning and contraception</c:v>
                </c:pt>
                <c:pt idx="3">
                  <c:v>Expanding Medicaid to cover more low-income Texans</c:v>
                </c:pt>
                <c:pt idx="4">
                  <c:v>Reducing the number of women who die from causes related to pregnancy and childbirth</c:v>
                </c:pt>
                <c:pt idx="5">
                  <c:v>Improving access to hospitals in rural areas</c:v>
                </c:pt>
                <c:pt idx="6">
                  <c:v>Increasing funding for mental health programs</c:v>
                </c:pt>
                <c:pt idx="7">
                  <c:v>Increasing access to health insurance</c:v>
                </c:pt>
                <c:pt idx="8">
                  <c:v>Lowering amount individuals pay for health care</c:v>
                </c:pt>
                <c:pt idx="9">
                  <c:v>Lowering the cost of Rx drugs</c:v>
                </c:pt>
              </c:strCache>
            </c:strRef>
          </c:cat>
          <c:val>
            <c:numRef>
              <c:f>Sheet1!$E$2:$E$11</c:f>
              <c:numCache>
                <c:formatCode>0%</c:formatCode>
                <c:ptCount val="10"/>
                <c:pt idx="0">
                  <c:v>0.35</c:v>
                </c:pt>
                <c:pt idx="1">
                  <c:v>0.05</c:v>
                </c:pt>
                <c:pt idx="2">
                  <c:v>0.06</c:v>
                </c:pt>
                <c:pt idx="3">
                  <c:v>0.08</c:v>
                </c:pt>
                <c:pt idx="4">
                  <c:v>0.04</c:v>
                </c:pt>
                <c:pt idx="5">
                  <c:v>0.02</c:v>
                </c:pt>
                <c:pt idx="6">
                  <c:v>0.03</c:v>
                </c:pt>
                <c:pt idx="7">
                  <c:v>0.05</c:v>
                </c:pt>
                <c:pt idx="8">
                  <c:v>0.05</c:v>
                </c:pt>
                <c:pt idx="9">
                  <c:v>0.02</c:v>
                </c:pt>
              </c:numCache>
            </c:numRef>
          </c:val>
          <c:extLst>
            <c:ext xmlns:c16="http://schemas.microsoft.com/office/drawing/2014/chart" uri="{C3380CC4-5D6E-409C-BE32-E72D297353CC}">
              <c16:uniqueId val="{00000004-5D28-4946-9051-8190E3C488A0}"/>
            </c:ext>
          </c:extLst>
        </c:ser>
        <c:dLbls>
          <c:dLblPos val="ctr"/>
          <c:showLegendKey val="0"/>
          <c:showVal val="1"/>
          <c:showCatName val="0"/>
          <c:showSerName val="0"/>
          <c:showPercent val="0"/>
          <c:showBubbleSize val="0"/>
        </c:dLbls>
        <c:gapWidth val="150"/>
        <c:overlap val="100"/>
        <c:axId val="348210400"/>
        <c:axId val="348210784"/>
      </c:barChart>
      <c:catAx>
        <c:axId val="3482104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48210784"/>
        <c:crosses val="autoZero"/>
        <c:auto val="1"/>
        <c:lblAlgn val="ctr"/>
        <c:lblOffset val="100"/>
        <c:noMultiLvlLbl val="0"/>
      </c:catAx>
      <c:valAx>
        <c:axId val="348210784"/>
        <c:scaling>
          <c:orientation val="minMax"/>
          <c:max val="1"/>
        </c:scaling>
        <c:delete val="1"/>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348210400"/>
        <c:crosses val="autoZero"/>
        <c:crossBetween val="between"/>
        <c:majorUnit val="0.2"/>
      </c:valAx>
      <c:spPr>
        <a:noFill/>
        <a:ln>
          <a:noFill/>
        </a:ln>
        <a:effectLst/>
      </c:spPr>
    </c:plotArea>
    <c:legend>
      <c:legendPos val="b"/>
      <c:layout>
        <c:manualLayout>
          <c:xMode val="edge"/>
          <c:yMode val="edge"/>
          <c:x val="0.05"/>
          <c:y val="0.92661334329256273"/>
          <c:w val="0.9"/>
          <c:h val="4.703619557436743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spc="100" baseline="0">
                <a:solidFill>
                  <a:sysClr val="windowText" lastClr="000000"/>
                </a:solidFill>
                <a:effectLst/>
                <a:latin typeface="Segoe UI Semibold" panose="020B0702040204020203" pitchFamily="34" charset="0"/>
                <a:cs typeface="Segoe UI Semibold" panose="020B0702040204020203" pitchFamily="34" charset="0"/>
              </a:rPr>
              <a:t>CHART 5: DECREASING MEDICAID FAVORABILITY AMONG TEXAS RESIDENTS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8911170874445755E-2"/>
          <c:y val="0.17620906159850672"/>
          <c:w val="0.89811712608702443"/>
          <c:h val="0.65819289133911718"/>
        </c:manualLayout>
      </c:layout>
      <c:barChart>
        <c:barDir val="col"/>
        <c:grouping val="clustered"/>
        <c:varyColors val="0"/>
        <c:ser>
          <c:idx val="0"/>
          <c:order val="0"/>
          <c:tx>
            <c:strRef>
              <c:f>Sheet1!$B$1</c:f>
              <c:strCache>
                <c:ptCount val="1"/>
                <c:pt idx="0">
                  <c:v>2018</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Very or somewhat favorable opinion</c:v>
                </c:pt>
                <c:pt idx="1">
                  <c:v>Yes, working well for most Texans</c:v>
                </c:pt>
              </c:strCache>
            </c:strRef>
          </c:cat>
          <c:val>
            <c:numRef>
              <c:f>Sheet1!$B$2:$B$3</c:f>
              <c:numCache>
                <c:formatCode>0%</c:formatCode>
                <c:ptCount val="2"/>
                <c:pt idx="0">
                  <c:v>0.71</c:v>
                </c:pt>
                <c:pt idx="1">
                  <c:v>0.6</c:v>
                </c:pt>
              </c:numCache>
            </c:numRef>
          </c:val>
          <c:extLst>
            <c:ext xmlns:c16="http://schemas.microsoft.com/office/drawing/2014/chart" uri="{C3380CC4-5D6E-409C-BE32-E72D297353CC}">
              <c16:uniqueId val="{00000000-180D-45B4-A85E-B1214B27BCC5}"/>
            </c:ext>
          </c:extLst>
        </c:ser>
        <c:ser>
          <c:idx val="1"/>
          <c:order val="1"/>
          <c:tx>
            <c:strRef>
              <c:f>Sheet1!$C$1</c:f>
              <c:strCache>
                <c:ptCount val="1"/>
                <c:pt idx="0">
                  <c:v>2019</c:v>
                </c:pt>
              </c:strCache>
            </c:strRef>
          </c:tx>
          <c:spPr>
            <a:solidFill>
              <a:schemeClr val="tx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Very or somewhat favorable opinion</c:v>
                </c:pt>
                <c:pt idx="1">
                  <c:v>Yes, working well for most Texans</c:v>
                </c:pt>
              </c:strCache>
            </c:strRef>
          </c:cat>
          <c:val>
            <c:numRef>
              <c:f>Sheet1!$C$2:$C$3</c:f>
              <c:numCache>
                <c:formatCode>0%</c:formatCode>
                <c:ptCount val="2"/>
                <c:pt idx="0">
                  <c:v>0.72</c:v>
                </c:pt>
                <c:pt idx="1">
                  <c:v>0.59</c:v>
                </c:pt>
              </c:numCache>
            </c:numRef>
          </c:val>
          <c:extLst>
            <c:ext xmlns:c16="http://schemas.microsoft.com/office/drawing/2014/chart" uri="{C3380CC4-5D6E-409C-BE32-E72D297353CC}">
              <c16:uniqueId val="{00000001-180D-45B4-A85E-B1214B27BCC5}"/>
            </c:ext>
          </c:extLst>
        </c:ser>
        <c:ser>
          <c:idx val="2"/>
          <c:order val="2"/>
          <c:tx>
            <c:strRef>
              <c:f>Sheet1!$D$1</c:f>
              <c:strCache>
                <c:ptCount val="1"/>
                <c:pt idx="0">
                  <c:v>2020</c:v>
                </c:pt>
              </c:strCache>
            </c:strRef>
          </c:tx>
          <c:spPr>
            <a:solidFill>
              <a:schemeClr val="bg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Very or somewhat favorable opinion</c:v>
                </c:pt>
                <c:pt idx="1">
                  <c:v>Yes, working well for most Texans</c:v>
                </c:pt>
              </c:strCache>
            </c:strRef>
          </c:cat>
          <c:val>
            <c:numRef>
              <c:f>Sheet1!$D$2:$D$3</c:f>
              <c:numCache>
                <c:formatCode>0%</c:formatCode>
                <c:ptCount val="2"/>
                <c:pt idx="0">
                  <c:v>0.69</c:v>
                </c:pt>
                <c:pt idx="1">
                  <c:v>0.53</c:v>
                </c:pt>
              </c:numCache>
            </c:numRef>
          </c:val>
          <c:extLst>
            <c:ext xmlns:c16="http://schemas.microsoft.com/office/drawing/2014/chart" uri="{C3380CC4-5D6E-409C-BE32-E72D297353CC}">
              <c16:uniqueId val="{00000002-180D-45B4-A85E-B1214B27BCC5}"/>
            </c:ext>
          </c:extLst>
        </c:ser>
        <c:ser>
          <c:idx val="3"/>
          <c:order val="3"/>
          <c:tx>
            <c:strRef>
              <c:f>Sheet1!$E$1</c:f>
              <c:strCache>
                <c:ptCount val="1"/>
                <c:pt idx="0">
                  <c:v>2021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Very or somewhat favorable opinion</c:v>
                </c:pt>
                <c:pt idx="1">
                  <c:v>Yes, working well for most Texans</c:v>
                </c:pt>
              </c:strCache>
            </c:strRef>
          </c:cat>
          <c:val>
            <c:numRef>
              <c:f>Sheet1!$E$2:$E$3</c:f>
              <c:numCache>
                <c:formatCode>0%</c:formatCode>
                <c:ptCount val="2"/>
                <c:pt idx="0">
                  <c:v>0.64</c:v>
                </c:pt>
                <c:pt idx="1">
                  <c:v>0.48</c:v>
                </c:pt>
              </c:numCache>
            </c:numRef>
          </c:val>
          <c:extLst>
            <c:ext xmlns:c16="http://schemas.microsoft.com/office/drawing/2014/chart" uri="{C3380CC4-5D6E-409C-BE32-E72D297353CC}">
              <c16:uniqueId val="{00000004-180D-45B4-A85E-B1214B27BCC5}"/>
            </c:ext>
          </c:extLst>
        </c:ser>
        <c:dLbls>
          <c:dLblPos val="outEnd"/>
          <c:showLegendKey val="0"/>
          <c:showVal val="1"/>
          <c:showCatName val="0"/>
          <c:showSerName val="0"/>
          <c:showPercent val="0"/>
          <c:showBubbleSize val="0"/>
        </c:dLbls>
        <c:gapWidth val="219"/>
        <c:overlap val="-27"/>
        <c:axId val="735961631"/>
        <c:axId val="735963295"/>
      </c:barChart>
      <c:catAx>
        <c:axId val="7359616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735963295"/>
        <c:crosses val="autoZero"/>
        <c:auto val="1"/>
        <c:lblAlgn val="ctr"/>
        <c:lblOffset val="100"/>
        <c:noMultiLvlLbl val="0"/>
      </c:catAx>
      <c:valAx>
        <c:axId val="735963295"/>
        <c:scaling>
          <c:orientation val="minMax"/>
          <c:min val="0.30000000000000004"/>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7359616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spc="100" baseline="0">
                <a:solidFill>
                  <a:sysClr val="windowText" lastClr="000000"/>
                </a:solidFill>
                <a:effectLst/>
                <a:latin typeface="Segoe UI Semibold" panose="020B0702040204020203" pitchFamily="34" charset="0"/>
                <a:cs typeface="Segoe UI Semibold" panose="020B0702040204020203" pitchFamily="34" charset="0"/>
              </a:rPr>
              <a:t>CHART 6: CONSISTENTLY HIGHER SUPPORT FOR MEDICAID EXPANSION SINCE 2020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Column4</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2018</c:v>
                </c:pt>
                <c:pt idx="1">
                  <c:v>2019</c:v>
                </c:pt>
                <c:pt idx="2">
                  <c:v>2020</c:v>
                </c:pt>
                <c:pt idx="3">
                  <c:v>2021</c:v>
                </c:pt>
              </c:numCache>
            </c:numRef>
          </c:cat>
          <c:val>
            <c:numRef>
              <c:f>Sheet1!$B$2:$B$5</c:f>
              <c:numCache>
                <c:formatCode>0%</c:formatCode>
                <c:ptCount val="4"/>
                <c:pt idx="0">
                  <c:v>0.64</c:v>
                </c:pt>
                <c:pt idx="1">
                  <c:v>0.64</c:v>
                </c:pt>
                <c:pt idx="2">
                  <c:v>0.69</c:v>
                </c:pt>
                <c:pt idx="3">
                  <c:v>0.69</c:v>
                </c:pt>
              </c:numCache>
            </c:numRef>
          </c:val>
          <c:extLst>
            <c:ext xmlns:c16="http://schemas.microsoft.com/office/drawing/2014/chart" uri="{C3380CC4-5D6E-409C-BE32-E72D297353CC}">
              <c16:uniqueId val="{00000000-B271-42BE-8F71-C204A6DC987C}"/>
            </c:ext>
          </c:extLst>
        </c:ser>
        <c:dLbls>
          <c:dLblPos val="outEnd"/>
          <c:showLegendKey val="0"/>
          <c:showVal val="1"/>
          <c:showCatName val="0"/>
          <c:showSerName val="0"/>
          <c:showPercent val="0"/>
          <c:showBubbleSize val="0"/>
        </c:dLbls>
        <c:gapWidth val="219"/>
        <c:overlap val="-27"/>
        <c:axId val="735961631"/>
        <c:axId val="735963295"/>
      </c:barChart>
      <c:catAx>
        <c:axId val="7359616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735963295"/>
        <c:crosses val="autoZero"/>
        <c:auto val="1"/>
        <c:lblAlgn val="ctr"/>
        <c:lblOffset val="100"/>
        <c:noMultiLvlLbl val="0"/>
      </c:catAx>
      <c:valAx>
        <c:axId val="735963295"/>
        <c:scaling>
          <c:orientation val="minMax"/>
          <c:min val="0.5"/>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73596163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spc="100" baseline="0">
                <a:solidFill>
                  <a:sysClr val="windowText" lastClr="000000"/>
                </a:solidFill>
                <a:latin typeface="Segoe UI Semibold" panose="020B0702040204020203" pitchFamily="34" charset="0"/>
                <a:cs typeface="Segoe UI Semibold" panose="020B0702040204020203" pitchFamily="34" charset="0"/>
              </a:rPr>
              <a:t>CHART 7: DECLINE IN MEDICAID FAVORABILITY ASSOCIATED WITH RISE IN SUPPORT FOR MEDICAID EXPANSION OVER TIME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Medicaid Favorability</c:v>
                </c:pt>
              </c:strCache>
            </c:strRef>
          </c:tx>
          <c:spPr>
            <a:ln w="28575" cap="rnd">
              <a:solidFill>
                <a:schemeClr val="tx1"/>
              </a:solidFill>
              <a:prstDash val="sysDot"/>
              <a:round/>
            </a:ln>
            <a:effectLst/>
          </c:spPr>
          <c:marker>
            <c:symbol val="triangle"/>
            <c:size val="7"/>
            <c:spPr>
              <a:solidFill>
                <a:schemeClr val="tx1"/>
              </a:solidFill>
              <a:ln w="9525">
                <a:solidFill>
                  <a:schemeClr val="tx1"/>
                </a:solidFill>
              </a:ln>
              <a:effectLst/>
            </c:spPr>
          </c:marker>
          <c:cat>
            <c:numRef>
              <c:f>Sheet1!$A$2:$A$5</c:f>
              <c:numCache>
                <c:formatCode>General</c:formatCode>
                <c:ptCount val="4"/>
                <c:pt idx="0">
                  <c:v>2018</c:v>
                </c:pt>
                <c:pt idx="1">
                  <c:v>2019</c:v>
                </c:pt>
                <c:pt idx="2">
                  <c:v>2020</c:v>
                </c:pt>
                <c:pt idx="3">
                  <c:v>2021</c:v>
                </c:pt>
              </c:numCache>
            </c:numRef>
          </c:cat>
          <c:val>
            <c:numRef>
              <c:f>Sheet1!$B$2:$B$5</c:f>
              <c:numCache>
                <c:formatCode>0%</c:formatCode>
                <c:ptCount val="4"/>
                <c:pt idx="0">
                  <c:v>0.71</c:v>
                </c:pt>
                <c:pt idx="1">
                  <c:v>0.72</c:v>
                </c:pt>
                <c:pt idx="2">
                  <c:v>0.69</c:v>
                </c:pt>
                <c:pt idx="3">
                  <c:v>0.64</c:v>
                </c:pt>
              </c:numCache>
            </c:numRef>
          </c:val>
          <c:smooth val="0"/>
          <c:extLst>
            <c:ext xmlns:c16="http://schemas.microsoft.com/office/drawing/2014/chart" uri="{C3380CC4-5D6E-409C-BE32-E72D297353CC}">
              <c16:uniqueId val="{00000000-7A65-42B1-BD82-41674A365621}"/>
            </c:ext>
          </c:extLst>
        </c:ser>
        <c:ser>
          <c:idx val="1"/>
          <c:order val="1"/>
          <c:tx>
            <c:strRef>
              <c:f>Sheet1!$C$1</c:f>
              <c:strCache>
                <c:ptCount val="1"/>
                <c:pt idx="0">
                  <c:v>Support for Medicaid Expansion</c:v>
                </c:pt>
              </c:strCache>
            </c:strRef>
          </c:tx>
          <c:spPr>
            <a:ln w="22225" cap="rnd">
              <a:solidFill>
                <a:schemeClr val="accent1"/>
              </a:solidFill>
              <a:round/>
            </a:ln>
            <a:effectLst/>
          </c:spPr>
          <c:marker>
            <c:symbol val="square"/>
            <c:size val="6"/>
            <c:spPr>
              <a:solidFill>
                <a:schemeClr val="accent1"/>
              </a:solidFill>
              <a:ln w="9525">
                <a:solidFill>
                  <a:schemeClr val="accent1"/>
                </a:solidFill>
              </a:ln>
              <a:effectLst/>
            </c:spPr>
          </c:marker>
          <c:cat>
            <c:numRef>
              <c:f>Sheet1!$A$2:$A$5</c:f>
              <c:numCache>
                <c:formatCode>General</c:formatCode>
                <c:ptCount val="4"/>
                <c:pt idx="0">
                  <c:v>2018</c:v>
                </c:pt>
                <c:pt idx="1">
                  <c:v>2019</c:v>
                </c:pt>
                <c:pt idx="2">
                  <c:v>2020</c:v>
                </c:pt>
                <c:pt idx="3">
                  <c:v>2021</c:v>
                </c:pt>
              </c:numCache>
            </c:numRef>
          </c:cat>
          <c:val>
            <c:numRef>
              <c:f>Sheet1!$C$2:$C$5</c:f>
              <c:numCache>
                <c:formatCode>0%</c:formatCode>
                <c:ptCount val="4"/>
                <c:pt idx="0">
                  <c:v>0.64</c:v>
                </c:pt>
                <c:pt idx="1">
                  <c:v>0.64</c:v>
                </c:pt>
                <c:pt idx="2">
                  <c:v>0.69</c:v>
                </c:pt>
                <c:pt idx="3">
                  <c:v>0.69</c:v>
                </c:pt>
              </c:numCache>
            </c:numRef>
          </c:val>
          <c:smooth val="0"/>
          <c:extLst>
            <c:ext xmlns:c16="http://schemas.microsoft.com/office/drawing/2014/chart" uri="{C3380CC4-5D6E-409C-BE32-E72D297353CC}">
              <c16:uniqueId val="{00000001-7A65-42B1-BD82-41674A365621}"/>
            </c:ext>
          </c:extLst>
        </c:ser>
        <c:dLbls>
          <c:showLegendKey val="0"/>
          <c:showVal val="0"/>
          <c:showCatName val="0"/>
          <c:showSerName val="0"/>
          <c:showPercent val="0"/>
          <c:showBubbleSize val="0"/>
        </c:dLbls>
        <c:marker val="1"/>
        <c:smooth val="0"/>
        <c:axId val="1700759951"/>
        <c:axId val="1700774927"/>
      </c:lineChart>
      <c:catAx>
        <c:axId val="17007599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700774927"/>
        <c:crosses val="autoZero"/>
        <c:auto val="1"/>
        <c:lblAlgn val="ctr"/>
        <c:lblOffset val="100"/>
        <c:noMultiLvlLbl val="0"/>
      </c:catAx>
      <c:valAx>
        <c:axId val="1700774927"/>
        <c:scaling>
          <c:orientation val="minMax"/>
          <c:min val="0.60000000000000009"/>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7007599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spc="100" baseline="0">
                <a:solidFill>
                  <a:sysClr val="windowText" lastClr="000000"/>
                </a:solidFill>
                <a:effectLst/>
                <a:latin typeface="Segoe UI Semibold" panose="020B0702040204020203" pitchFamily="34" charset="0"/>
                <a:cs typeface="Segoe UI Semibold" panose="020B0702040204020203" pitchFamily="34" charset="0"/>
              </a:rPr>
              <a:t>CHART 8: DECREASING MEDICAID FAVORABILITY AMONG REPUBLICANS AND INDEPENDENTS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2018</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Democrat</c:v>
                </c:pt>
                <c:pt idx="1">
                  <c:v>Republican</c:v>
                </c:pt>
                <c:pt idx="2">
                  <c:v>Independent</c:v>
                </c:pt>
              </c:strCache>
            </c:strRef>
          </c:cat>
          <c:val>
            <c:numRef>
              <c:f>Sheet1!$B$2:$B$4</c:f>
              <c:numCache>
                <c:formatCode>0%</c:formatCode>
                <c:ptCount val="3"/>
                <c:pt idx="0">
                  <c:v>0.78</c:v>
                </c:pt>
                <c:pt idx="1">
                  <c:v>0.6</c:v>
                </c:pt>
                <c:pt idx="2">
                  <c:v>0.71</c:v>
                </c:pt>
              </c:numCache>
            </c:numRef>
          </c:val>
          <c:extLst>
            <c:ext xmlns:c16="http://schemas.microsoft.com/office/drawing/2014/chart" uri="{C3380CC4-5D6E-409C-BE32-E72D297353CC}">
              <c16:uniqueId val="{00000000-3C30-45F6-8D48-113694BDCEFC}"/>
            </c:ext>
          </c:extLst>
        </c:ser>
        <c:ser>
          <c:idx val="1"/>
          <c:order val="1"/>
          <c:tx>
            <c:strRef>
              <c:f>Sheet1!$C$1</c:f>
              <c:strCache>
                <c:ptCount val="1"/>
                <c:pt idx="0">
                  <c:v>2019</c:v>
                </c:pt>
              </c:strCache>
            </c:strRef>
          </c:tx>
          <c:spPr>
            <a:solidFill>
              <a:schemeClr val="tx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Democrat</c:v>
                </c:pt>
                <c:pt idx="1">
                  <c:v>Republican</c:v>
                </c:pt>
                <c:pt idx="2">
                  <c:v>Independent</c:v>
                </c:pt>
              </c:strCache>
            </c:strRef>
          </c:cat>
          <c:val>
            <c:numRef>
              <c:f>Sheet1!$C$2:$C$4</c:f>
              <c:numCache>
                <c:formatCode>0%</c:formatCode>
                <c:ptCount val="3"/>
                <c:pt idx="0">
                  <c:v>0.79</c:v>
                </c:pt>
                <c:pt idx="1">
                  <c:v>0.65</c:v>
                </c:pt>
                <c:pt idx="2">
                  <c:v>0.72</c:v>
                </c:pt>
              </c:numCache>
            </c:numRef>
          </c:val>
          <c:extLst>
            <c:ext xmlns:c16="http://schemas.microsoft.com/office/drawing/2014/chart" uri="{C3380CC4-5D6E-409C-BE32-E72D297353CC}">
              <c16:uniqueId val="{00000001-3C30-45F6-8D48-113694BDCEFC}"/>
            </c:ext>
          </c:extLst>
        </c:ser>
        <c:ser>
          <c:idx val="2"/>
          <c:order val="2"/>
          <c:tx>
            <c:strRef>
              <c:f>Sheet1!$D$1</c:f>
              <c:strCache>
                <c:ptCount val="1"/>
                <c:pt idx="0">
                  <c:v>2020</c:v>
                </c:pt>
              </c:strCache>
            </c:strRef>
          </c:tx>
          <c:spPr>
            <a:solidFill>
              <a:schemeClr val="bg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Democrat</c:v>
                </c:pt>
                <c:pt idx="1">
                  <c:v>Republican</c:v>
                </c:pt>
                <c:pt idx="2">
                  <c:v>Independent</c:v>
                </c:pt>
              </c:strCache>
            </c:strRef>
          </c:cat>
          <c:val>
            <c:numRef>
              <c:f>Sheet1!$D$2:$D$4</c:f>
              <c:numCache>
                <c:formatCode>0%</c:formatCode>
                <c:ptCount val="3"/>
                <c:pt idx="0">
                  <c:v>0.78</c:v>
                </c:pt>
                <c:pt idx="1">
                  <c:v>0.57999999999999996</c:v>
                </c:pt>
                <c:pt idx="2">
                  <c:v>0.69</c:v>
                </c:pt>
              </c:numCache>
            </c:numRef>
          </c:val>
          <c:extLst>
            <c:ext xmlns:c16="http://schemas.microsoft.com/office/drawing/2014/chart" uri="{C3380CC4-5D6E-409C-BE32-E72D297353CC}">
              <c16:uniqueId val="{00000002-3C30-45F6-8D48-113694BDCEFC}"/>
            </c:ext>
          </c:extLst>
        </c:ser>
        <c:ser>
          <c:idx val="3"/>
          <c:order val="3"/>
          <c:tx>
            <c:strRef>
              <c:f>Sheet1!$E$1</c:f>
              <c:strCache>
                <c:ptCount val="1"/>
                <c:pt idx="0">
                  <c:v>2021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Democrat</c:v>
                </c:pt>
                <c:pt idx="1">
                  <c:v>Republican</c:v>
                </c:pt>
                <c:pt idx="2">
                  <c:v>Independent</c:v>
                </c:pt>
              </c:strCache>
            </c:strRef>
          </c:cat>
          <c:val>
            <c:numRef>
              <c:f>Sheet1!$E$2:$E$4</c:f>
              <c:numCache>
                <c:formatCode>0%</c:formatCode>
                <c:ptCount val="3"/>
                <c:pt idx="0">
                  <c:v>0.76</c:v>
                </c:pt>
                <c:pt idx="1">
                  <c:v>0.53</c:v>
                </c:pt>
                <c:pt idx="2">
                  <c:v>0.62</c:v>
                </c:pt>
              </c:numCache>
            </c:numRef>
          </c:val>
          <c:extLst>
            <c:ext xmlns:c16="http://schemas.microsoft.com/office/drawing/2014/chart" uri="{C3380CC4-5D6E-409C-BE32-E72D297353CC}">
              <c16:uniqueId val="{00000005-3C30-45F6-8D48-113694BDCEFC}"/>
            </c:ext>
          </c:extLst>
        </c:ser>
        <c:dLbls>
          <c:dLblPos val="outEnd"/>
          <c:showLegendKey val="0"/>
          <c:showVal val="1"/>
          <c:showCatName val="0"/>
          <c:showSerName val="0"/>
          <c:showPercent val="0"/>
          <c:showBubbleSize val="0"/>
        </c:dLbls>
        <c:gapWidth val="219"/>
        <c:overlap val="-27"/>
        <c:axId val="735961631"/>
        <c:axId val="735963295"/>
      </c:barChart>
      <c:catAx>
        <c:axId val="7359616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735963295"/>
        <c:crosses val="autoZero"/>
        <c:auto val="1"/>
        <c:lblAlgn val="ctr"/>
        <c:lblOffset val="100"/>
        <c:noMultiLvlLbl val="0"/>
      </c:catAx>
      <c:valAx>
        <c:axId val="735963295"/>
        <c:scaling>
          <c:orientation val="minMax"/>
          <c:min val="0.30000000000000004"/>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7359616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r>
              <a:rPr lang="en-US" sz="1200">
                <a:solidFill>
                  <a:sysClr val="windowText" lastClr="000000"/>
                </a:solidFill>
                <a:latin typeface="Segoe UI Semibold" panose="020B0702040204020203" pitchFamily="34" charset="0"/>
                <a:cs typeface="Segoe UI Semibold" panose="020B0702040204020203" pitchFamily="34" charset="0"/>
              </a:rPr>
              <a:t>Chart 9: One Quarter of Texans Do Not Have a Usual Place for Care</a:t>
            </a:r>
          </a:p>
        </c:rich>
      </c:tx>
      <c:overlay val="0"/>
      <c:spPr>
        <a:noFill/>
        <a:ln>
          <a:noFill/>
        </a:ln>
        <a:effectLst/>
      </c:spPr>
      <c:txPr>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endParaRPr lang="en-US"/>
        </a:p>
      </c:txPr>
    </c:title>
    <c:autoTitleDeleted val="0"/>
    <c:plotArea>
      <c:layout>
        <c:manualLayout>
          <c:layoutTarget val="inner"/>
          <c:xMode val="edge"/>
          <c:yMode val="edge"/>
          <c:x val="0.25067735673665792"/>
          <c:y val="0.18692926996917089"/>
          <c:w val="0.49830267798556432"/>
          <c:h val="0.79383880385738304"/>
        </c:manualLayout>
      </c:layout>
      <c:pieChart>
        <c:varyColors val="1"/>
        <c:ser>
          <c:idx val="0"/>
          <c:order val="0"/>
          <c:tx>
            <c:strRef>
              <c:f>Sheet1!$B$1</c:f>
              <c:strCache>
                <c:ptCount val="1"/>
                <c:pt idx="0">
                  <c:v>Column1</c:v>
                </c:pt>
              </c:strCache>
            </c:strRef>
          </c:tx>
          <c:spPr>
            <a:solidFill>
              <a:schemeClr val="lt1"/>
            </a:solidFill>
            <a:ln w="19050">
              <a:noFill/>
            </a:ln>
            <a:effectLst/>
          </c:spPr>
          <c:dPt>
            <c:idx val="0"/>
            <c:bubble3D val="0"/>
            <c:spPr>
              <a:solidFill>
                <a:schemeClr val="bg1">
                  <a:lumMod val="50000"/>
                </a:schemeClr>
              </a:solidFill>
              <a:ln w="19050">
                <a:noFill/>
              </a:ln>
              <a:effectLst/>
            </c:spPr>
            <c:extLst>
              <c:ext xmlns:c16="http://schemas.microsoft.com/office/drawing/2014/chart" uri="{C3380CC4-5D6E-409C-BE32-E72D297353CC}">
                <c16:uniqueId val="{00000003-0F9A-46F9-B39B-A2AFA5996B56}"/>
              </c:ext>
            </c:extLst>
          </c:dPt>
          <c:dPt>
            <c:idx val="1"/>
            <c:bubble3D val="0"/>
            <c:spPr>
              <a:solidFill>
                <a:schemeClr val="accent1"/>
              </a:solidFill>
              <a:ln w="19050">
                <a:noFill/>
              </a:ln>
              <a:effectLst/>
            </c:spPr>
            <c:extLst>
              <c:ext xmlns:c16="http://schemas.microsoft.com/office/drawing/2014/chart" uri="{C3380CC4-5D6E-409C-BE32-E72D297353CC}">
                <c16:uniqueId val="{00000002-0F9A-46F9-B39B-A2AFA5996B56}"/>
              </c:ext>
            </c:extLst>
          </c:dPt>
          <c:dPt>
            <c:idx val="2"/>
            <c:bubble3D val="0"/>
            <c:spPr>
              <a:solidFill>
                <a:schemeClr val="tx1"/>
              </a:solidFill>
              <a:ln w="19050">
                <a:noFill/>
              </a:ln>
              <a:effectLst/>
            </c:spPr>
            <c:extLst>
              <c:ext xmlns:c16="http://schemas.microsoft.com/office/drawing/2014/chart" uri="{C3380CC4-5D6E-409C-BE32-E72D297353CC}">
                <c16:uniqueId val="{00000004-0F9A-46F9-B39B-A2AFA5996B56}"/>
              </c:ext>
            </c:extLst>
          </c:dPt>
          <c:dPt>
            <c:idx val="3"/>
            <c:bubble3D val="0"/>
            <c:spPr>
              <a:solidFill>
                <a:schemeClr val="accent4"/>
              </a:solidFill>
              <a:ln w="19050">
                <a:noFill/>
              </a:ln>
              <a:effectLst/>
            </c:spPr>
            <c:extLst>
              <c:ext xmlns:c16="http://schemas.microsoft.com/office/drawing/2014/chart" uri="{C3380CC4-5D6E-409C-BE32-E72D297353CC}">
                <c16:uniqueId val="{00000005-0F9A-46F9-B39B-A2AFA5996B56}"/>
              </c:ext>
            </c:extLst>
          </c:dPt>
          <c:dPt>
            <c:idx val="4"/>
            <c:bubble3D val="0"/>
            <c:spPr>
              <a:solidFill>
                <a:schemeClr val="accent2"/>
              </a:solidFill>
              <a:ln w="19050">
                <a:noFill/>
              </a:ln>
              <a:effectLst/>
            </c:spPr>
            <c:extLst>
              <c:ext xmlns:c16="http://schemas.microsoft.com/office/drawing/2014/chart" uri="{C3380CC4-5D6E-409C-BE32-E72D297353CC}">
                <c16:uniqueId val="{00000006-0F9A-46F9-B39B-A2AFA5996B56}"/>
              </c:ext>
            </c:extLst>
          </c:dPt>
          <c:dPt>
            <c:idx val="5"/>
            <c:bubble3D val="0"/>
            <c:spPr>
              <a:solidFill>
                <a:schemeClr val="accent3"/>
              </a:solidFill>
              <a:ln w="19050">
                <a:noFill/>
              </a:ln>
              <a:effectLst/>
            </c:spPr>
            <c:extLst>
              <c:ext xmlns:c16="http://schemas.microsoft.com/office/drawing/2014/chart" uri="{C3380CC4-5D6E-409C-BE32-E72D297353CC}">
                <c16:uniqueId val="{0000000B-F5A3-4BE3-8AD3-6B8DCAA9BC98}"/>
              </c:ext>
            </c:extLst>
          </c:dPt>
          <c:dLbls>
            <c:dLbl>
              <c:idx val="0"/>
              <c:layout>
                <c:manualLayout>
                  <c:x val="0.17775863954505686"/>
                  <c:y val="-7.2601555747623295E-2"/>
                </c:manualLayout>
              </c:layout>
              <c:spPr>
                <a:noFill/>
                <a:ln>
                  <a:noFill/>
                </a:ln>
                <a:effectLst/>
              </c:spPr>
              <c:txPr>
                <a:bodyPr rot="0" spcFirstLastPara="1" vertOverflow="ellipsis" vert="horz" wrap="square" lIns="38100" tIns="19050" rIns="38100" bIns="19050" anchor="ctr" anchorCtr="1">
                  <a:spAutoFit/>
                </a:bodyPr>
                <a:lstStyle/>
                <a:p>
                  <a:pPr>
                    <a:defRPr sz="1000" b="0" i="0" u="none" strike="noStrike" kern="1200" cap="none" spc="0" baseline="0">
                      <a:ln w="0"/>
                      <a:solidFill>
                        <a:schemeClr val="bg1"/>
                      </a:solidFill>
                      <a:effectLst/>
                      <a:latin typeface="+mn-lt"/>
                      <a:ea typeface="+mn-ea"/>
                      <a:cs typeface="Calibri" panose="020F050202020403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F9A-46F9-B39B-A2AFA5996B56}"/>
                </c:ext>
              </c:extLst>
            </c:dLbl>
            <c:dLbl>
              <c:idx val="1"/>
              <c:layout>
                <c:manualLayout>
                  <c:x val="1.1732249289151356E-2"/>
                  <c:y val="0.2627043875349635"/>
                </c:manualLayout>
              </c:layout>
              <c:spPr>
                <a:noFill/>
                <a:ln>
                  <a:noFill/>
                </a:ln>
                <a:effectLst/>
              </c:spPr>
              <c:txPr>
                <a:bodyPr rot="0" spcFirstLastPara="1" vertOverflow="ellipsis" vert="horz" wrap="square" lIns="38100" tIns="19050" rIns="38100" bIns="19050" anchor="ctr" anchorCtr="1">
                  <a:spAutoFit/>
                </a:bodyPr>
                <a:lstStyle/>
                <a:p>
                  <a:pPr>
                    <a:defRPr sz="1000" b="0" i="0" u="none" strike="noStrike" kern="1200" cap="none" spc="0" baseline="0">
                      <a:ln w="0"/>
                      <a:solidFill>
                        <a:schemeClr val="bg1"/>
                      </a:solidFill>
                      <a:effectLst/>
                      <a:latin typeface="+mn-lt"/>
                      <a:ea typeface="+mn-ea"/>
                      <a:cs typeface="Calibri" panose="020F050202020403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0F9A-46F9-B39B-A2AFA5996B56}"/>
                </c:ext>
              </c:extLst>
            </c:dLbl>
            <c:dLbl>
              <c:idx val="2"/>
              <c:layout>
                <c:manualLayout>
                  <c:x val="-0.15635081747594051"/>
                  <c:y val="1.9667481063570535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cap="none" spc="0" baseline="0">
                      <a:ln w="0"/>
                      <a:solidFill>
                        <a:schemeClr val="bg1"/>
                      </a:solidFill>
                      <a:effectLst/>
                      <a:latin typeface="+mn-lt"/>
                      <a:ea typeface="+mn-ea"/>
                      <a:cs typeface="Calibri" panose="020F050202020403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4586306594488188"/>
                      <c:h val="0.14823892907941391"/>
                    </c:manualLayout>
                  </c15:layout>
                </c:ext>
                <c:ext xmlns:c16="http://schemas.microsoft.com/office/drawing/2014/chart" uri="{C3380CC4-5D6E-409C-BE32-E72D297353CC}">
                  <c16:uniqueId val="{00000004-0F9A-46F9-B39B-A2AFA5996B56}"/>
                </c:ext>
              </c:extLst>
            </c:dLbl>
            <c:dLbl>
              <c:idx val="3"/>
              <c:layout>
                <c:manualLayout>
                  <c:x val="-9.8236377679352588E-2"/>
                  <c:y val="-3.1437807525571834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cap="none" spc="0" baseline="0">
                      <a:ln w="0"/>
                      <a:solidFill>
                        <a:schemeClr val="bg1"/>
                      </a:solidFill>
                      <a:effectLst/>
                      <a:latin typeface="+mn-lt"/>
                      <a:ea typeface="+mn-ea"/>
                      <a:cs typeface="Calibri" panose="020F050202020403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0263680418853893"/>
                      <c:h val="0.10233362143474503"/>
                    </c:manualLayout>
                  </c15:layout>
                </c:ext>
                <c:ext xmlns:c16="http://schemas.microsoft.com/office/drawing/2014/chart" uri="{C3380CC4-5D6E-409C-BE32-E72D297353CC}">
                  <c16:uniqueId val="{00000005-0F9A-46F9-B39B-A2AFA5996B56}"/>
                </c:ext>
              </c:extLst>
            </c:dLbl>
            <c:dLbl>
              <c:idx val="4"/>
              <c:layout>
                <c:manualLayout>
                  <c:x val="-1.8361938156167979E-2"/>
                  <c:y val="-9.038308413695479E-3"/>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cap="none" spc="0" baseline="0">
                      <a:ln w="0"/>
                      <a:solidFill>
                        <a:schemeClr val="tx1"/>
                      </a:solidFill>
                      <a:effectLst/>
                      <a:latin typeface="+mn-lt"/>
                      <a:ea typeface="+mn-ea"/>
                      <a:cs typeface="Calibri" panose="020F050202020403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1912985974409449"/>
                      <c:h val="0.12411408815903198"/>
                    </c:manualLayout>
                  </c15:layout>
                </c:ext>
                <c:ext xmlns:c16="http://schemas.microsoft.com/office/drawing/2014/chart" uri="{C3380CC4-5D6E-409C-BE32-E72D297353CC}">
                  <c16:uniqueId val="{00000006-0F9A-46F9-B39B-A2AFA5996B56}"/>
                </c:ext>
              </c:extLst>
            </c:dLbl>
            <c:dLbl>
              <c:idx val="5"/>
              <c:layout>
                <c:manualLayout>
                  <c:x val="-0.10132310121391076"/>
                  <c:y val="-7.045617569195381E-2"/>
                </c:manualLayout>
              </c:layout>
              <c:spPr>
                <a:noFill/>
                <a:ln>
                  <a:noFill/>
                </a:ln>
                <a:effectLst/>
              </c:spPr>
              <c:txPr>
                <a:bodyPr rot="0" spcFirstLastPara="1" vertOverflow="ellipsis" vert="horz" wrap="square" lIns="38100" tIns="19050" rIns="38100" bIns="19050" anchor="ctr" anchorCtr="1">
                  <a:spAutoFit/>
                </a:bodyPr>
                <a:lstStyle/>
                <a:p>
                  <a:pPr>
                    <a:defRPr sz="1200" b="0" i="0" u="none" strike="noStrike" kern="1200" cap="none" spc="0" baseline="0">
                      <a:ln w="0"/>
                      <a:solidFill>
                        <a:schemeClr val="bg1"/>
                      </a:solidFill>
                      <a:effectLst/>
                      <a:latin typeface="Segoe UI Semibold" panose="020B0702040204020203" pitchFamily="34" charset="0"/>
                      <a:ea typeface="+mn-ea"/>
                      <a:cs typeface="Segoe UI Semibold" panose="020B0702040204020203"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26076388888888891"/>
                      <c:h val="0.23108038029386344"/>
                    </c:manualLayout>
                  </c15:layout>
                </c:ext>
                <c:ext xmlns:c16="http://schemas.microsoft.com/office/drawing/2014/chart" uri="{C3380CC4-5D6E-409C-BE32-E72D297353CC}">
                  <c16:uniqueId val="{0000000B-F5A3-4BE3-8AD3-6B8DCAA9BC98}"/>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cap="none" spc="0" baseline="0">
                    <a:ln w="0"/>
                    <a:solidFill>
                      <a:schemeClr val="tx1"/>
                    </a:solidFill>
                    <a:effectLst/>
                    <a:latin typeface="+mn-lt"/>
                    <a:ea typeface="+mn-ea"/>
                    <a:cs typeface="Calibri" panose="020F0502020204030204" pitchFamily="34" charset="0"/>
                  </a:defRPr>
                </a:pPr>
                <a:endParaRPr lang="en-US"/>
              </a:p>
            </c:txPr>
            <c:dLblPos val="inEnd"/>
            <c:showLegendKey val="0"/>
            <c:showVal val="0"/>
            <c:showCatName val="1"/>
            <c:showSerName val="0"/>
            <c:showPercent val="1"/>
            <c:showBubbleSize val="0"/>
            <c:showLeaderLines val="0"/>
            <c:extLst>
              <c:ext xmlns:c15="http://schemas.microsoft.com/office/drawing/2012/chart" uri="{CE6537A1-D6FC-4f65-9D91-7224C49458BB}"/>
            </c:extLst>
          </c:dLbls>
          <c:cat>
            <c:strRef>
              <c:f>Sheet1!$A$2:$A$7</c:f>
              <c:strCache>
                <c:ptCount val="6"/>
                <c:pt idx="0">
                  <c:v>Clinic or health center</c:v>
                </c:pt>
                <c:pt idx="1">
                  <c:v>Doctor's office</c:v>
                </c:pt>
                <c:pt idx="2">
                  <c:v>Urgent care</c:v>
                </c:pt>
                <c:pt idx="3">
                  <c:v>Other</c:v>
                </c:pt>
                <c:pt idx="4">
                  <c:v>Don't know/Refused</c:v>
                </c:pt>
                <c:pt idx="5">
                  <c:v>No usual place/ Emergency room</c:v>
                </c:pt>
              </c:strCache>
            </c:strRef>
          </c:cat>
          <c:val>
            <c:numRef>
              <c:f>Sheet1!$B$2:$B$7</c:f>
              <c:numCache>
                <c:formatCode>0%</c:formatCode>
                <c:ptCount val="6"/>
                <c:pt idx="0">
                  <c:v>0.18</c:v>
                </c:pt>
                <c:pt idx="1">
                  <c:v>0.41</c:v>
                </c:pt>
                <c:pt idx="2">
                  <c:v>7.0000000000000007E-2</c:v>
                </c:pt>
                <c:pt idx="3">
                  <c:v>0.04</c:v>
                </c:pt>
                <c:pt idx="4">
                  <c:v>0.01</c:v>
                </c:pt>
                <c:pt idx="5">
                  <c:v>0.28999999999999998</c:v>
                </c:pt>
              </c:numCache>
            </c:numRef>
          </c:val>
          <c:extLst>
            <c:ext xmlns:c16="http://schemas.microsoft.com/office/drawing/2014/chart" uri="{C3380CC4-5D6E-409C-BE32-E72D297353CC}">
              <c16:uniqueId val="{00000000-0F9A-46F9-B39B-A2AFA5996B56}"/>
            </c:ext>
          </c:extLst>
        </c:ser>
        <c:dLbls>
          <c:dLblPos val="inEnd"/>
          <c:showLegendKey val="0"/>
          <c:showVal val="0"/>
          <c:showCatName val="1"/>
          <c:showSerName val="0"/>
          <c:showPercent val="0"/>
          <c:showBubbleSize val="0"/>
          <c:showLeaderLines val="0"/>
        </c:dLbls>
        <c:firstSliceAng val="22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r>
              <a:rPr lang="en-US" sz="1200" spc="100" baseline="0">
                <a:solidFill>
                  <a:sysClr val="windowText" lastClr="000000"/>
                </a:solidFill>
                <a:latin typeface="Segoe UI Semibold" panose="020B0702040204020203" pitchFamily="34" charset="0"/>
                <a:cs typeface="Segoe UI Semibold" panose="020B0702040204020203" pitchFamily="34" charset="0"/>
              </a:rPr>
              <a:t>CHART 10: LOW-INCOME AND UNINSURED MORE LIKELY TO SAY TRAVELING TO PLACE OF CARE IS DIFFICULT</a:t>
            </a:r>
          </a:p>
          <a:p>
            <a:pPr>
              <a:defRPr sz="1200">
                <a:solidFill>
                  <a:sysClr val="windowText" lastClr="000000"/>
                </a:solidFill>
              </a:defRPr>
            </a:pPr>
            <a:endParaRPr lang="en-US" sz="500" b="0" i="0" u="none" strike="noStrike" baseline="0">
              <a:solidFill>
                <a:sysClr val="windowText" lastClr="000000"/>
              </a:solidFill>
              <a:effectLst/>
            </a:endParaRPr>
          </a:p>
          <a:p>
            <a:pPr>
              <a:defRPr sz="1200">
                <a:solidFill>
                  <a:sysClr val="windowText" lastClr="000000"/>
                </a:solidFill>
              </a:defRPr>
            </a:pPr>
            <a:r>
              <a:rPr lang="en-US" sz="800" b="0" i="0" u="none" strike="noStrike" baseline="0">
                <a:solidFill>
                  <a:sysClr val="windowText" lastClr="000000"/>
                </a:solidFill>
                <a:effectLst/>
              </a:rPr>
              <a:t>Q: How easy or difficult is it for you to travel to the place where you receive your medical care? Is it…? </a:t>
            </a:r>
          </a:p>
          <a:p>
            <a:pPr>
              <a:defRPr sz="1200">
                <a:solidFill>
                  <a:sysClr val="windowText" lastClr="000000"/>
                </a:solidFill>
              </a:defRPr>
            </a:pPr>
            <a:endParaRPr lang="en-US" sz="500" b="0" i="0" u="none" strike="noStrike" baseline="0">
              <a:solidFill>
                <a:sysClr val="windowText" lastClr="000000"/>
              </a:solidFill>
              <a:effectLst/>
            </a:endParaRPr>
          </a:p>
          <a:p>
            <a:pPr>
              <a:defRPr sz="1200">
                <a:solidFill>
                  <a:sysClr val="windowText" lastClr="000000"/>
                </a:solidFill>
              </a:defRPr>
            </a:pPr>
            <a:r>
              <a:rPr lang="en-US" sz="900">
                <a:solidFill>
                  <a:sysClr val="windowText" lastClr="000000"/>
                </a:solidFill>
                <a:latin typeface="Segoe UI Semibold" panose="020B0702040204020203" pitchFamily="34" charset="0"/>
                <a:cs typeface="Segoe UI Semibold" panose="020B0702040204020203" pitchFamily="34" charset="0"/>
              </a:rPr>
              <a:t>PERCENT REPORTING SOMEWHAT</a:t>
            </a:r>
            <a:r>
              <a:rPr lang="en-US" sz="900" baseline="0">
                <a:solidFill>
                  <a:sysClr val="windowText" lastClr="000000"/>
                </a:solidFill>
                <a:latin typeface="Segoe UI Semibold" panose="020B0702040204020203" pitchFamily="34" charset="0"/>
                <a:cs typeface="Segoe UI Semibold" panose="020B0702040204020203" pitchFamily="34" charset="0"/>
              </a:rPr>
              <a:t> OR VERY </a:t>
            </a:r>
            <a:r>
              <a:rPr lang="en-US" sz="900">
                <a:solidFill>
                  <a:sysClr val="windowText" lastClr="000000"/>
                </a:solidFill>
                <a:latin typeface="Segoe UI Semibold" panose="020B0702040204020203" pitchFamily="34" charset="0"/>
                <a:cs typeface="Segoe UI Semibold" panose="020B0702040204020203" pitchFamily="34" charset="0"/>
              </a:rPr>
              <a:t>DIFFICULT AMONG THOS</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5059799911374715"/>
          <c:y val="0.21035178366105345"/>
          <c:w val="0.63107611548556442"/>
          <c:h val="0.75957869406804746"/>
        </c:manualLayout>
      </c:layout>
      <c:barChart>
        <c:barDir val="bar"/>
        <c:grouping val="stacked"/>
        <c:varyColors val="0"/>
        <c:ser>
          <c:idx val="0"/>
          <c:order val="0"/>
          <c:tx>
            <c:strRef>
              <c:f>Sheet1!$B$1</c:f>
              <c:strCache>
                <c:ptCount val="1"/>
                <c:pt idx="0">
                  <c:v>Difficult</c:v>
                </c:pt>
              </c:strCache>
            </c:strRef>
          </c:tx>
          <c:spPr>
            <a:solidFill>
              <a:schemeClr val="accent1"/>
            </a:solidFill>
            <a:ln>
              <a:noFill/>
            </a:ln>
            <a:effectLst/>
          </c:spPr>
          <c:invertIfNegative val="0"/>
          <c:dPt>
            <c:idx val="8"/>
            <c:invertIfNegative val="0"/>
            <c:bubble3D val="0"/>
            <c:spPr>
              <a:solidFill>
                <a:schemeClr val="tx1"/>
              </a:solidFill>
              <a:ln>
                <a:noFill/>
              </a:ln>
              <a:effectLst/>
            </c:spPr>
            <c:extLst>
              <c:ext xmlns:c16="http://schemas.microsoft.com/office/drawing/2014/chart" uri="{C3380CC4-5D6E-409C-BE32-E72D297353CC}">
                <c16:uniqueId val="{00000000-18CF-45DD-A4E4-E8ACB3F576AE}"/>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Ages 65+</c:v>
                </c:pt>
                <c:pt idx="1">
                  <c:v>Uninsured ages 18-64</c:v>
                </c:pt>
                <c:pt idx="2">
                  <c:v>Insured ages 18-64</c:v>
                </c:pt>
                <c:pt idx="3">
                  <c:v>Hispanic</c:v>
                </c:pt>
                <c:pt idx="4">
                  <c:v>Black</c:v>
                </c:pt>
                <c:pt idx="5">
                  <c:v>White</c:v>
                </c:pt>
                <c:pt idx="6">
                  <c:v>250%+ FPL</c:v>
                </c:pt>
                <c:pt idx="7">
                  <c:v>&lt;250% FPL</c:v>
                </c:pt>
                <c:pt idx="8">
                  <c:v>Total Have Usual Place of Care</c:v>
                </c:pt>
              </c:strCache>
            </c:strRef>
          </c:cat>
          <c:val>
            <c:numRef>
              <c:f>Sheet1!$B$2:$B$10</c:f>
              <c:numCache>
                <c:formatCode>0%</c:formatCode>
                <c:ptCount val="9"/>
                <c:pt idx="0">
                  <c:v>0.14000000000000001</c:v>
                </c:pt>
                <c:pt idx="1">
                  <c:v>0.25</c:v>
                </c:pt>
                <c:pt idx="2">
                  <c:v>0.11</c:v>
                </c:pt>
                <c:pt idx="3">
                  <c:v>0.22</c:v>
                </c:pt>
                <c:pt idx="4">
                  <c:v>0.08</c:v>
                </c:pt>
                <c:pt idx="5">
                  <c:v>0.12</c:v>
                </c:pt>
                <c:pt idx="6">
                  <c:v>0.06</c:v>
                </c:pt>
                <c:pt idx="7">
                  <c:v>0.26</c:v>
                </c:pt>
                <c:pt idx="8">
                  <c:v>0.14000000000000001</c:v>
                </c:pt>
              </c:numCache>
            </c:numRef>
          </c:val>
          <c:extLst>
            <c:ext xmlns:c16="http://schemas.microsoft.com/office/drawing/2014/chart" uri="{C3380CC4-5D6E-409C-BE32-E72D297353CC}">
              <c16:uniqueId val="{00000000-9AA1-4ECB-9A9F-253682AD164C}"/>
            </c:ext>
          </c:extLst>
        </c:ser>
        <c:dLbls>
          <c:showLegendKey val="0"/>
          <c:showVal val="0"/>
          <c:showCatName val="0"/>
          <c:showSerName val="0"/>
          <c:showPercent val="0"/>
          <c:showBubbleSize val="0"/>
        </c:dLbls>
        <c:gapWidth val="150"/>
        <c:overlap val="100"/>
        <c:axId val="349158736"/>
        <c:axId val="347770696"/>
      </c:barChart>
      <c:catAx>
        <c:axId val="3491587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347770696"/>
        <c:crosses val="autoZero"/>
        <c:auto val="1"/>
        <c:lblAlgn val="ctr"/>
        <c:lblOffset val="100"/>
        <c:noMultiLvlLbl val="0"/>
      </c:catAx>
      <c:valAx>
        <c:axId val="347770696"/>
        <c:scaling>
          <c:orientation val="minMax"/>
          <c:max val="0.4"/>
        </c:scaling>
        <c:delete val="1"/>
        <c:axPos val="b"/>
        <c:numFmt formatCode="0%" sourceLinked="1"/>
        <c:majorTickMark val="out"/>
        <c:minorTickMark val="none"/>
        <c:tickLblPos val="nextTo"/>
        <c:crossAx val="349158736"/>
        <c:crosses val="autoZero"/>
        <c:crossBetween val="between"/>
        <c:majorUnit val="0.2"/>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60">
  <cs:axisTitle>
    <cs:lnRef idx="0"/>
    <cs:fillRef idx="0"/>
    <cs:effectRef idx="0"/>
    <cs:fontRef idx="minor">
      <a:schemeClr val="lt1"/>
    </cs:fontRef>
    <cs:defRPr sz="900" b="1" kern="1200"/>
  </cs:axisTitle>
  <cs:categoryAxis>
    <cs:lnRef idx="0">
      <cs:styleClr val="0"/>
    </cs:lnRef>
    <cs:fillRef idx="0"/>
    <cs:effectRef idx="0"/>
    <cs:fontRef idx="minor">
      <a:schemeClr val="lt1"/>
    </cs:fontRef>
    <cs:spPr>
      <a:ln w="3175" cap="flat" cmpd="sng" algn="ctr">
        <a:solidFill>
          <a:schemeClr val="phClr">
            <a:lumMod val="60000"/>
            <a:lumOff val="40000"/>
          </a:schemeClr>
        </a:solidFill>
        <a:round/>
      </a:ln>
    </cs:spPr>
    <cs:defRPr sz="800" kern="1200" cap="all" spc="150" normalizeH="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styleClr val="0"/>
    </cs:lnRef>
    <cs:fillRef idx="0"/>
    <cs:effectRef idx="0"/>
    <cs:fontRef idx="minor">
      <cs:styleClr val="0"/>
    </cs:fontRef>
    <cs:defRPr sz="900" b="1" kern="1200"/>
  </cs:dataLabel>
  <cs:dataLabelCallout>
    <cs:lnRef idx="0">
      <cs:styleClr val="0"/>
    </cs:lnRef>
    <cs:fillRef idx="0"/>
    <cs:effectRef idx="0"/>
    <cs:fontRef idx="minor">
      <cs:styleClr val="0"/>
    </cs:fontRef>
    <cs:spPr>
      <a:solidFill>
        <a:schemeClr val="lt1"/>
      </a:solidFill>
      <a:ln>
        <a:solidFill>
          <a:schemeClr val="phClr"/>
        </a:solidFill>
      </a:ln>
    </cs:spPr>
    <cs:defRPr sz="900" b="1" kern="1200"/>
    <cs:bodyPr rot="0" spcFirstLastPara="1" vertOverflow="clip" horzOverflow="clip" vert="horz" wrap="square" lIns="36576" tIns="18288" rIns="36576" bIns="18288" anchor="ctr" anchorCtr="1">
      <a:spAutoFit/>
    </cs:bodyPr>
  </cs:dataLabelCallout>
  <cs:dataPoint>
    <cs:lnRef idx="0">
      <cs:styleClr val="0"/>
    </cs:lnRef>
    <cs:fillRef idx="0"/>
    <cs:effectRef idx="0"/>
    <cs:fontRef idx="minor">
      <a:schemeClr val="dk1"/>
    </cs:fontRef>
    <cs:spPr>
      <a:solidFill>
        <a:schemeClr val="lt1"/>
      </a:solidFill>
      <a:ln w="19050">
        <a:solidFill>
          <a:schemeClr val="phClr"/>
        </a:solidFill>
      </a:ln>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styleClr val="0"/>
    </cs:lnRef>
    <cs:fillRef idx="0"/>
    <cs:effectRef idx="0"/>
    <cs:fontRef idx="minor">
      <a:schemeClr val="dk1"/>
    </cs:fontRef>
    <cs:spPr>
      <a:ln w="9525">
        <a:solidFill>
          <a:schemeClr val="phClr">
            <a:lumMod val="60000"/>
            <a:lumOff val="40000"/>
          </a:schemeClr>
        </a:solidFill>
        <a:prstDash val="dash"/>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ustom 1">
      <a:dk1>
        <a:srgbClr val="303030"/>
      </a:dk1>
      <a:lt1>
        <a:sysClr val="window" lastClr="FFFFFF"/>
      </a:lt1>
      <a:dk2>
        <a:srgbClr val="000000"/>
      </a:dk2>
      <a:lt2>
        <a:srgbClr val="A5A5A5"/>
      </a:lt2>
      <a:accent1>
        <a:srgbClr val="20A5E8"/>
      </a:accent1>
      <a:accent2>
        <a:srgbClr val="FF9A05"/>
      </a:accent2>
      <a:accent3>
        <a:srgbClr val="92D050"/>
      </a:accent3>
      <a:accent4>
        <a:srgbClr val="7030A0"/>
      </a:accent4>
      <a:accent5>
        <a:srgbClr val="FFFF00"/>
      </a:accent5>
      <a:accent6>
        <a:srgbClr val="EB008B"/>
      </a:accent6>
      <a:hlink>
        <a:srgbClr val="20A5E8"/>
      </a:hlink>
      <a:folHlink>
        <a:srgbClr val="EB008B"/>
      </a:folHlink>
    </a:clrScheme>
    <a:fontScheme name="ssrs 2019">
      <a:majorFont>
        <a:latin typeface="Century Gothic"/>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chemeClr val="bg1">
            <a:lumMod val="85000"/>
          </a:schemeClr>
        </a:solidFill>
        <a:ln w="9525">
          <a:solidFill>
            <a:schemeClr val="tx1"/>
          </a:solidFill>
          <a:miter lim="800000"/>
          <a:headEnd/>
          <a:tailEnd/>
        </a:ln>
      </a:spPr>
      <a:bodyPr rot="0" vert="horz" wrap="square" lIns="91440" tIns="45720" rIns="91440" bIns="4572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FCCC9-B424-4AB3-8C20-96B97E1AA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15</Pages>
  <Words>2761</Words>
  <Characters>15738</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SSRS</Company>
  <LinksUpToDate>false</LinksUpToDate>
  <CharactersWithSpaces>18463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Banerjee</dc:creator>
  <cp:keywords/>
  <dc:description/>
  <cp:lastModifiedBy>Brian Sasser</cp:lastModifiedBy>
  <cp:revision>7</cp:revision>
  <cp:lastPrinted>2019-02-20T21:23:00Z</cp:lastPrinted>
  <dcterms:created xsi:type="dcterms:W3CDTF">2022-04-22T17:54:00Z</dcterms:created>
  <dcterms:modified xsi:type="dcterms:W3CDTF">2022-04-25T16:05:00Z</dcterms:modified>
</cp:coreProperties>
</file>